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41" w:rightFromText="141" w:horzAnchor="margin" w:tblpXSpec="center" w:tblpY="-330"/>
        <w:tblW w:w="11341"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26CB6"/>
        <w:tblCellMar>
          <w:left w:w="0" w:type="dxa"/>
          <w:right w:w="0" w:type="dxa"/>
        </w:tblCellMar>
        <w:tblLook w:val="04A0" w:firstRow="1" w:lastRow="0" w:firstColumn="1" w:lastColumn="0" w:noHBand="0" w:noVBand="1"/>
      </w:tblPr>
      <w:tblGrid>
        <w:gridCol w:w="11341"/>
      </w:tblGrid>
      <w:tr w:rsidR="00542F27" w:rsidRPr="00BF0505" w14:paraId="04C46C56" w14:textId="77777777" w:rsidTr="000F4FAC">
        <w:tc>
          <w:tcPr>
            <w:tcW w:w="11341" w:type="dxa"/>
            <w:shd w:val="clear" w:color="auto" w:fill="026CB6"/>
            <w:tcMar>
              <w:top w:w="284" w:type="dxa"/>
              <w:left w:w="284" w:type="dxa"/>
              <w:bottom w:w="113" w:type="dxa"/>
              <w:right w:w="284" w:type="dxa"/>
            </w:tcMar>
          </w:tcPr>
          <w:p w14:paraId="2AF0876B" w14:textId="77777777" w:rsidR="000F4FAC" w:rsidRPr="00BF0505" w:rsidRDefault="00BF0505" w:rsidP="000F4FAC">
            <w:pPr>
              <w:rPr>
                <w:color w:val="FFFFFF" w:themeColor="background1"/>
                <w:sz w:val="24"/>
                <w:szCs w:val="24"/>
              </w:rPr>
            </w:pPr>
            <w:bookmarkStart w:id="0" w:name="_GoBack"/>
            <w:bookmarkEnd w:id="0"/>
            <w:r w:rsidRPr="00BF0505">
              <w:rPr>
                <w:color w:val="FFFFFF" w:themeColor="background1"/>
                <w:sz w:val="24"/>
                <w:szCs w:val="24"/>
              </w:rPr>
              <w:t xml:space="preserve">Field Coordination Support Section </w:t>
            </w:r>
            <w:r w:rsidR="00F94AD7" w:rsidRPr="00BF0505">
              <w:rPr>
                <w:color w:val="FFFFFF" w:themeColor="background1"/>
                <w:sz w:val="24"/>
                <w:szCs w:val="24"/>
              </w:rPr>
              <w:t>- FCSS</w:t>
            </w:r>
          </w:p>
          <w:p w14:paraId="6887D2E2" w14:textId="77777777" w:rsidR="00962800" w:rsidRPr="00BF0505" w:rsidRDefault="00962800" w:rsidP="000F4FAC">
            <w:pPr>
              <w:rPr>
                <w:b/>
                <w:color w:val="FFFFFF" w:themeColor="background1"/>
                <w:sz w:val="22"/>
              </w:rPr>
            </w:pPr>
          </w:p>
          <w:p w14:paraId="3DB21F17" w14:textId="77777777" w:rsidR="00BF0505" w:rsidRDefault="00BF0505" w:rsidP="00BF0505">
            <w:pPr>
              <w:rPr>
                <w:b/>
                <w:color w:val="FFFFFF" w:themeColor="background1"/>
                <w:sz w:val="22"/>
              </w:rPr>
            </w:pPr>
            <w:r w:rsidRPr="00BF0505">
              <w:rPr>
                <w:b/>
                <w:color w:val="FFFFFF" w:themeColor="background1"/>
                <w:sz w:val="22"/>
              </w:rPr>
              <w:t>UNITED NATIONS DISASTER ASSESSMENT COORDINATION TEAM (U</w:t>
            </w:r>
            <w:r w:rsidR="00600C82" w:rsidRPr="00BF0505">
              <w:rPr>
                <w:b/>
                <w:color w:val="FFFFFF" w:themeColor="background1"/>
                <w:sz w:val="22"/>
              </w:rPr>
              <w:t xml:space="preserve">NDAC) </w:t>
            </w:r>
          </w:p>
          <w:p w14:paraId="755F79E9" w14:textId="77777777" w:rsidR="00BF0505" w:rsidRDefault="00BF0505" w:rsidP="00BF0505">
            <w:pPr>
              <w:rPr>
                <w:b/>
                <w:color w:val="FFFFFF" w:themeColor="background1"/>
                <w:sz w:val="22"/>
              </w:rPr>
            </w:pPr>
          </w:p>
          <w:p w14:paraId="6AD4E790" w14:textId="77777777" w:rsidR="000F4FAC" w:rsidRPr="00BF0505" w:rsidRDefault="00BF0505" w:rsidP="00673366">
            <w:pPr>
              <w:rPr>
                <w:b/>
                <w:color w:val="FFFFFF" w:themeColor="background1"/>
                <w:sz w:val="22"/>
              </w:rPr>
            </w:pPr>
            <w:r>
              <w:rPr>
                <w:b/>
                <w:color w:val="FFFFFF" w:themeColor="background1"/>
                <w:sz w:val="22"/>
              </w:rPr>
              <w:t>END OF MISSION REPORT</w:t>
            </w:r>
            <w:r w:rsidR="00EA1584" w:rsidRPr="003A492C">
              <w:rPr>
                <w:b/>
                <w:noProof/>
                <w:sz w:val="24"/>
                <w:szCs w:val="24"/>
                <w:lang w:val="en-GB" w:eastAsia="en-GB"/>
              </w:rPr>
              <w:drawing>
                <wp:anchor distT="0" distB="144145" distL="144145" distR="0" simplePos="0" relativeHeight="251691008" behindDoc="0" locked="0" layoutInCell="1" allowOverlap="1" wp14:anchorId="3CD50EAA" wp14:editId="54A063C0">
                  <wp:simplePos x="4486275" y="542925"/>
                  <wp:positionH relativeFrom="margin">
                    <wp:align>right</wp:align>
                  </wp:positionH>
                  <wp:positionV relativeFrom="margin">
                    <wp:align>top</wp:align>
                  </wp:positionV>
                  <wp:extent cx="1440000" cy="342000"/>
                  <wp:effectExtent l="0" t="0" r="8255" b="1270"/>
                  <wp:wrapSquare wrapText="bothSides"/>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40000" cy="3420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b/>
                <w:color w:val="FFFFFF" w:themeColor="background1"/>
                <w:sz w:val="22"/>
              </w:rPr>
              <w:t xml:space="preserve"> – </w:t>
            </w:r>
            <w:r w:rsidR="00673366">
              <w:rPr>
                <w:b/>
                <w:color w:val="FFFFFF" w:themeColor="background1"/>
                <w:sz w:val="22"/>
              </w:rPr>
              <w:t xml:space="preserve">Bangladesh / Sundarbans Oil Spill </w:t>
            </w:r>
            <w:r>
              <w:rPr>
                <w:b/>
                <w:color w:val="FFFFFF" w:themeColor="background1"/>
                <w:sz w:val="22"/>
              </w:rPr>
              <w:t xml:space="preserve">– </w:t>
            </w:r>
            <w:r w:rsidR="00673366">
              <w:rPr>
                <w:b/>
                <w:color w:val="FFFFFF" w:themeColor="background1"/>
                <w:sz w:val="22"/>
              </w:rPr>
              <w:t>17 December 2014 – 2 January 2015</w:t>
            </w:r>
          </w:p>
        </w:tc>
      </w:tr>
      <w:tr w:rsidR="002934AB" w:rsidRPr="00BF0505" w14:paraId="17561B61" w14:textId="77777777" w:rsidTr="00BF0505">
        <w:trPr>
          <w:trHeight w:val="80"/>
        </w:trPr>
        <w:tc>
          <w:tcPr>
            <w:tcW w:w="11341" w:type="dxa"/>
            <w:shd w:val="clear" w:color="auto" w:fill="026CB6"/>
          </w:tcPr>
          <w:p w14:paraId="7E7CDDCE" w14:textId="77777777" w:rsidR="002934AB" w:rsidRPr="00BF0505" w:rsidRDefault="002934AB" w:rsidP="000F4FAC">
            <w:pPr>
              <w:pStyle w:val="ochaheadertitle"/>
            </w:pPr>
          </w:p>
        </w:tc>
      </w:tr>
    </w:tbl>
    <w:p w14:paraId="5D650F4F" w14:textId="77777777" w:rsidR="006D723E" w:rsidRDefault="00BF0505" w:rsidP="000F4FAC">
      <w:pPr>
        <w:pStyle w:val="ochacontentheading"/>
        <w:ind w:right="-427"/>
        <w:rPr>
          <w:lang w:val="es-PA"/>
        </w:rPr>
      </w:pPr>
      <w:r>
        <w:rPr>
          <w:lang w:val="es-PA"/>
        </w:rPr>
        <w:t>Mission duration</w:t>
      </w:r>
    </w:p>
    <w:p w14:paraId="090936F3" w14:textId="77777777" w:rsidR="00BF0505" w:rsidRDefault="00C01758" w:rsidP="00673366">
      <w:pPr>
        <w:pStyle w:val="ochacontenttext"/>
        <w:jc w:val="both"/>
        <w:rPr>
          <w:rFonts w:eastAsiaTheme="minorHAnsi" w:cstheme="minorBidi"/>
          <w:sz w:val="22"/>
          <w:szCs w:val="22"/>
          <w:lang w:val="es-PA" w:eastAsia="en-US"/>
        </w:rPr>
      </w:pPr>
      <w:r>
        <w:rPr>
          <w:rFonts w:eastAsiaTheme="minorHAnsi" w:cstheme="minorBidi"/>
          <w:sz w:val="22"/>
          <w:szCs w:val="22"/>
          <w:lang w:eastAsia="en-US"/>
        </w:rPr>
        <w:t xml:space="preserve">The UNDAC mission </w:t>
      </w:r>
      <w:r w:rsidR="005B54A0">
        <w:rPr>
          <w:rFonts w:eastAsiaTheme="minorHAnsi" w:cstheme="minorBidi"/>
          <w:sz w:val="22"/>
          <w:szCs w:val="22"/>
          <w:lang w:eastAsia="en-US"/>
        </w:rPr>
        <w:t xml:space="preserve">consisting of four experts </w:t>
      </w:r>
      <w:r>
        <w:rPr>
          <w:rFonts w:eastAsiaTheme="minorHAnsi" w:cstheme="minorBidi"/>
          <w:sz w:val="22"/>
          <w:szCs w:val="22"/>
          <w:lang w:eastAsia="en-US"/>
        </w:rPr>
        <w:t>arrived in country on 17 December, 2014. By 20 December the full team, supported by additional national and international experts, was assembled in Dhaka. On 22 December the team left Dhaka for the Sundarbans region, where it spent six days conducting assessments around the oil spill site. The team returned to Dhaka on 28 December; presenting the final findings to the Government and the press on 31 December 2014.</w:t>
      </w:r>
    </w:p>
    <w:p w14:paraId="418DB54F" w14:textId="77777777" w:rsidR="00673366" w:rsidRDefault="00BF0505" w:rsidP="00BF0505">
      <w:pPr>
        <w:pStyle w:val="ochacontentheading"/>
        <w:ind w:right="-427"/>
        <w:rPr>
          <w:lang w:val="es-PA"/>
        </w:rPr>
      </w:pPr>
      <w:r>
        <w:rPr>
          <w:lang w:val="es-PA"/>
        </w:rPr>
        <w:t>Composition of the team</w:t>
      </w:r>
    </w:p>
    <w:p w14:paraId="747177E7" w14:textId="77777777" w:rsidR="000939CD" w:rsidRDefault="00C01758" w:rsidP="00673366">
      <w:pPr>
        <w:pStyle w:val="ochacontenttext"/>
        <w:jc w:val="both"/>
        <w:rPr>
          <w:rFonts w:eastAsiaTheme="minorHAnsi" w:cstheme="minorBidi"/>
          <w:sz w:val="22"/>
          <w:szCs w:val="22"/>
          <w:lang w:eastAsia="en-US"/>
        </w:rPr>
      </w:pPr>
      <w:r w:rsidRPr="00C01758">
        <w:rPr>
          <w:rFonts w:eastAsiaTheme="minorHAnsi" w:cstheme="minorBidi"/>
          <w:sz w:val="22"/>
          <w:szCs w:val="22"/>
          <w:lang w:eastAsia="en-US"/>
        </w:rPr>
        <w:t>The mission consisted of 25 core team members, of which 14 were nationals of Bangladesh and 11 were international staff. The team was additionally supported by a number of experts and representatives of Government, NGOs, academia and international organizations.</w:t>
      </w:r>
      <w:r>
        <w:rPr>
          <w:rFonts w:eastAsiaTheme="minorHAnsi" w:cstheme="minorBidi"/>
          <w:sz w:val="22"/>
          <w:szCs w:val="22"/>
          <w:lang w:eastAsia="en-US"/>
        </w:rPr>
        <w:t xml:space="preserve"> Four members of the team were mobilized through the UNDAC system (see below). The full team is given in Annex 1.</w:t>
      </w:r>
    </w:p>
    <w:p w14:paraId="4011E1D0" w14:textId="77777777" w:rsidR="00673366" w:rsidRDefault="00673366" w:rsidP="00673366">
      <w:pPr>
        <w:pStyle w:val="ochacontenttext"/>
        <w:jc w:val="both"/>
        <w:rPr>
          <w:rFonts w:eastAsiaTheme="minorHAnsi" w:cstheme="minorBidi"/>
          <w:sz w:val="22"/>
          <w:szCs w:val="22"/>
          <w:lang w:eastAsia="en-US"/>
        </w:rPr>
      </w:pPr>
    </w:p>
    <w:tbl>
      <w:tblPr>
        <w:tblStyle w:val="Style1"/>
        <w:tblW w:w="0" w:type="auto"/>
        <w:tblLook w:val="04A0" w:firstRow="1" w:lastRow="0" w:firstColumn="1" w:lastColumn="0" w:noHBand="0" w:noVBand="1"/>
      </w:tblPr>
      <w:tblGrid>
        <w:gridCol w:w="2657"/>
        <w:gridCol w:w="1704"/>
        <w:gridCol w:w="3260"/>
        <w:gridCol w:w="3008"/>
      </w:tblGrid>
      <w:tr w:rsidR="00C01758" w14:paraId="105DE339" w14:textId="77777777" w:rsidTr="00C01758">
        <w:trPr>
          <w:cnfStyle w:val="100000000000" w:firstRow="1" w:lastRow="0" w:firstColumn="0" w:lastColumn="0" w:oddVBand="0" w:evenVBand="0" w:oddHBand="0" w:evenHBand="0" w:firstRowFirstColumn="0" w:firstRowLastColumn="0" w:lastRowFirstColumn="0" w:lastRowLastColumn="0"/>
        </w:trPr>
        <w:tc>
          <w:tcPr>
            <w:tcW w:w="2657" w:type="dxa"/>
          </w:tcPr>
          <w:p w14:paraId="0910BD03" w14:textId="77777777" w:rsidR="00673366" w:rsidRPr="000939CD" w:rsidRDefault="00673366" w:rsidP="00673366">
            <w:pPr>
              <w:pStyle w:val="ochacontenttext"/>
              <w:jc w:val="both"/>
              <w:rPr>
                <w:rFonts w:eastAsiaTheme="minorHAnsi" w:cstheme="minorBidi"/>
                <w:b w:val="0"/>
                <w:sz w:val="22"/>
                <w:szCs w:val="22"/>
                <w:lang w:val="es-PA" w:eastAsia="en-US"/>
              </w:rPr>
            </w:pPr>
            <w:r w:rsidRPr="000939CD">
              <w:rPr>
                <w:rFonts w:eastAsiaTheme="minorHAnsi" w:cstheme="minorBidi"/>
                <w:b w:val="0"/>
                <w:sz w:val="22"/>
                <w:szCs w:val="22"/>
                <w:lang w:val="es-PA" w:eastAsia="en-US"/>
              </w:rPr>
              <w:t>Team member</w:t>
            </w:r>
          </w:p>
        </w:tc>
        <w:tc>
          <w:tcPr>
            <w:tcW w:w="1704" w:type="dxa"/>
          </w:tcPr>
          <w:p w14:paraId="622FC466" w14:textId="77777777" w:rsidR="00673366" w:rsidRPr="000939CD" w:rsidRDefault="00673366" w:rsidP="00673366">
            <w:pPr>
              <w:pStyle w:val="ochacontenttext"/>
              <w:jc w:val="both"/>
              <w:rPr>
                <w:rFonts w:eastAsiaTheme="minorHAnsi" w:cstheme="minorBidi"/>
                <w:b w:val="0"/>
                <w:sz w:val="22"/>
                <w:szCs w:val="22"/>
                <w:lang w:val="es-PA" w:eastAsia="en-US"/>
              </w:rPr>
            </w:pPr>
            <w:r w:rsidRPr="000939CD">
              <w:rPr>
                <w:rFonts w:eastAsiaTheme="minorHAnsi" w:cstheme="minorBidi"/>
                <w:b w:val="0"/>
                <w:sz w:val="22"/>
                <w:szCs w:val="22"/>
                <w:lang w:val="es-PA" w:eastAsia="en-US"/>
              </w:rPr>
              <w:t>Country</w:t>
            </w:r>
          </w:p>
        </w:tc>
        <w:tc>
          <w:tcPr>
            <w:tcW w:w="3260" w:type="dxa"/>
          </w:tcPr>
          <w:p w14:paraId="5D8E729E" w14:textId="77777777" w:rsidR="00673366" w:rsidRPr="000939CD" w:rsidRDefault="00673366" w:rsidP="00673366">
            <w:pPr>
              <w:pStyle w:val="ochacontenttext"/>
              <w:jc w:val="both"/>
              <w:rPr>
                <w:rFonts w:eastAsiaTheme="minorHAnsi" w:cstheme="minorBidi"/>
                <w:b w:val="0"/>
                <w:sz w:val="22"/>
                <w:szCs w:val="22"/>
                <w:lang w:val="es-PA" w:eastAsia="en-US"/>
              </w:rPr>
            </w:pPr>
            <w:r w:rsidRPr="000939CD">
              <w:rPr>
                <w:rFonts w:eastAsiaTheme="minorHAnsi" w:cstheme="minorBidi"/>
                <w:b w:val="0"/>
                <w:sz w:val="22"/>
                <w:szCs w:val="22"/>
                <w:lang w:val="es-PA" w:eastAsia="en-US"/>
              </w:rPr>
              <w:t>Organization</w:t>
            </w:r>
          </w:p>
        </w:tc>
        <w:tc>
          <w:tcPr>
            <w:tcW w:w="3008" w:type="dxa"/>
          </w:tcPr>
          <w:p w14:paraId="3CCFF103" w14:textId="77777777" w:rsidR="00673366" w:rsidRPr="000939CD" w:rsidRDefault="00673366" w:rsidP="00673366">
            <w:pPr>
              <w:pStyle w:val="ochacontenttext"/>
              <w:jc w:val="both"/>
              <w:rPr>
                <w:rFonts w:eastAsiaTheme="minorHAnsi" w:cstheme="minorBidi"/>
                <w:b w:val="0"/>
                <w:sz w:val="22"/>
                <w:szCs w:val="22"/>
                <w:lang w:val="es-PA" w:eastAsia="en-US"/>
              </w:rPr>
            </w:pPr>
            <w:r w:rsidRPr="000939CD">
              <w:rPr>
                <w:rFonts w:eastAsiaTheme="minorHAnsi" w:cstheme="minorBidi"/>
                <w:b w:val="0"/>
                <w:sz w:val="22"/>
                <w:szCs w:val="22"/>
                <w:lang w:val="es-PA" w:eastAsia="en-US"/>
              </w:rPr>
              <w:t>Mission dates</w:t>
            </w:r>
          </w:p>
        </w:tc>
      </w:tr>
      <w:tr w:rsidR="00C01758" w14:paraId="7DDC50A0" w14:textId="77777777" w:rsidTr="00C01758">
        <w:trPr>
          <w:cnfStyle w:val="000000100000" w:firstRow="0" w:lastRow="0" w:firstColumn="0" w:lastColumn="0" w:oddVBand="0" w:evenVBand="0" w:oddHBand="1" w:evenHBand="0" w:firstRowFirstColumn="0" w:firstRowLastColumn="0" w:lastRowFirstColumn="0" w:lastRowLastColumn="0"/>
        </w:trPr>
        <w:tc>
          <w:tcPr>
            <w:tcW w:w="2657" w:type="dxa"/>
          </w:tcPr>
          <w:p w14:paraId="7CE2C118" w14:textId="77777777" w:rsidR="00673366" w:rsidRDefault="00C01758" w:rsidP="00673366">
            <w:pPr>
              <w:pStyle w:val="ochacontenttext"/>
              <w:jc w:val="both"/>
              <w:rPr>
                <w:rFonts w:eastAsiaTheme="minorHAnsi" w:cstheme="minorBidi"/>
                <w:sz w:val="22"/>
                <w:szCs w:val="22"/>
                <w:lang w:val="es-PA" w:eastAsia="en-US"/>
              </w:rPr>
            </w:pPr>
            <w:r>
              <w:rPr>
                <w:rFonts w:eastAsiaTheme="minorHAnsi" w:cstheme="minorBidi"/>
                <w:sz w:val="22"/>
                <w:szCs w:val="22"/>
                <w:lang w:val="es-PA" w:eastAsia="en-US"/>
              </w:rPr>
              <w:t>Emilia Wahlstrom</w:t>
            </w:r>
          </w:p>
        </w:tc>
        <w:tc>
          <w:tcPr>
            <w:tcW w:w="1704" w:type="dxa"/>
          </w:tcPr>
          <w:p w14:paraId="2216A92F" w14:textId="77777777" w:rsidR="00673366" w:rsidRDefault="00C01758" w:rsidP="00673366">
            <w:pPr>
              <w:pStyle w:val="ochacontenttext"/>
              <w:jc w:val="both"/>
              <w:rPr>
                <w:rFonts w:eastAsiaTheme="minorHAnsi" w:cstheme="minorBidi"/>
                <w:sz w:val="22"/>
                <w:szCs w:val="22"/>
                <w:lang w:val="es-PA" w:eastAsia="en-US"/>
              </w:rPr>
            </w:pPr>
            <w:r>
              <w:rPr>
                <w:rFonts w:eastAsiaTheme="minorHAnsi" w:cstheme="minorBidi"/>
                <w:sz w:val="22"/>
                <w:szCs w:val="22"/>
                <w:lang w:val="es-PA" w:eastAsia="en-US"/>
              </w:rPr>
              <w:t>Finland</w:t>
            </w:r>
          </w:p>
        </w:tc>
        <w:tc>
          <w:tcPr>
            <w:tcW w:w="3260" w:type="dxa"/>
          </w:tcPr>
          <w:p w14:paraId="5A654677" w14:textId="77777777" w:rsidR="00673366" w:rsidRDefault="00C01758" w:rsidP="00673366">
            <w:pPr>
              <w:pStyle w:val="ochacontenttext"/>
              <w:jc w:val="both"/>
              <w:rPr>
                <w:rFonts w:eastAsiaTheme="minorHAnsi" w:cstheme="minorBidi"/>
                <w:sz w:val="22"/>
                <w:szCs w:val="22"/>
                <w:lang w:val="es-PA" w:eastAsia="en-US"/>
              </w:rPr>
            </w:pPr>
            <w:r>
              <w:rPr>
                <w:rFonts w:eastAsiaTheme="minorHAnsi" w:cstheme="minorBidi"/>
                <w:sz w:val="22"/>
                <w:szCs w:val="22"/>
                <w:lang w:val="es-PA" w:eastAsia="en-US"/>
              </w:rPr>
              <w:t>OCHA / UNEP</w:t>
            </w:r>
          </w:p>
        </w:tc>
        <w:tc>
          <w:tcPr>
            <w:tcW w:w="3008" w:type="dxa"/>
          </w:tcPr>
          <w:p w14:paraId="7A4D2DA0" w14:textId="77777777" w:rsidR="00673366" w:rsidRDefault="00C01758" w:rsidP="00C01758">
            <w:pPr>
              <w:pStyle w:val="ochacontenttext"/>
              <w:rPr>
                <w:rFonts w:eastAsiaTheme="minorHAnsi" w:cstheme="minorBidi"/>
                <w:sz w:val="22"/>
                <w:szCs w:val="22"/>
                <w:lang w:val="es-PA" w:eastAsia="en-US"/>
              </w:rPr>
            </w:pPr>
            <w:r>
              <w:rPr>
                <w:rFonts w:eastAsiaTheme="minorHAnsi" w:cstheme="minorBidi"/>
                <w:sz w:val="22"/>
                <w:szCs w:val="22"/>
                <w:lang w:val="es-PA" w:eastAsia="en-US"/>
              </w:rPr>
              <w:t>17.12.2014 – 02.01.2015</w:t>
            </w:r>
          </w:p>
        </w:tc>
      </w:tr>
      <w:tr w:rsidR="00C01758" w14:paraId="022A88B7" w14:textId="77777777" w:rsidTr="00C01758">
        <w:trPr>
          <w:cnfStyle w:val="000000010000" w:firstRow="0" w:lastRow="0" w:firstColumn="0" w:lastColumn="0" w:oddVBand="0" w:evenVBand="0" w:oddHBand="0" w:evenHBand="1" w:firstRowFirstColumn="0" w:firstRowLastColumn="0" w:lastRowFirstColumn="0" w:lastRowLastColumn="0"/>
        </w:trPr>
        <w:tc>
          <w:tcPr>
            <w:tcW w:w="2657" w:type="dxa"/>
          </w:tcPr>
          <w:p w14:paraId="080E13EC" w14:textId="77777777" w:rsidR="00673366" w:rsidRDefault="00C01758" w:rsidP="00673366">
            <w:pPr>
              <w:pStyle w:val="ochacontenttext"/>
              <w:jc w:val="both"/>
              <w:rPr>
                <w:rFonts w:eastAsiaTheme="minorHAnsi" w:cstheme="minorBidi"/>
                <w:sz w:val="22"/>
                <w:szCs w:val="22"/>
                <w:lang w:val="es-PA" w:eastAsia="en-US"/>
              </w:rPr>
            </w:pPr>
            <w:r>
              <w:rPr>
                <w:rFonts w:eastAsiaTheme="minorHAnsi" w:cstheme="minorBidi"/>
                <w:sz w:val="22"/>
                <w:szCs w:val="22"/>
                <w:lang w:val="es-PA" w:eastAsia="en-US"/>
              </w:rPr>
              <w:t>Per-Anders Berthlin</w:t>
            </w:r>
          </w:p>
        </w:tc>
        <w:tc>
          <w:tcPr>
            <w:tcW w:w="1704" w:type="dxa"/>
          </w:tcPr>
          <w:p w14:paraId="1F1EF9B6" w14:textId="77777777" w:rsidR="00673366" w:rsidRDefault="00C01758" w:rsidP="00673366">
            <w:pPr>
              <w:pStyle w:val="ochacontenttext"/>
              <w:jc w:val="both"/>
              <w:rPr>
                <w:rFonts w:eastAsiaTheme="minorHAnsi" w:cstheme="minorBidi"/>
                <w:sz w:val="22"/>
                <w:szCs w:val="22"/>
                <w:lang w:val="es-PA" w:eastAsia="en-US"/>
              </w:rPr>
            </w:pPr>
            <w:r>
              <w:rPr>
                <w:rFonts w:eastAsiaTheme="minorHAnsi" w:cstheme="minorBidi"/>
                <w:sz w:val="22"/>
                <w:szCs w:val="22"/>
                <w:lang w:val="es-PA" w:eastAsia="en-US"/>
              </w:rPr>
              <w:t>Sweden</w:t>
            </w:r>
          </w:p>
        </w:tc>
        <w:tc>
          <w:tcPr>
            <w:tcW w:w="3260" w:type="dxa"/>
          </w:tcPr>
          <w:p w14:paraId="025E7EB5" w14:textId="77777777" w:rsidR="00673366" w:rsidRDefault="00C01758" w:rsidP="00673366">
            <w:pPr>
              <w:pStyle w:val="ochacontenttext"/>
              <w:jc w:val="both"/>
              <w:rPr>
                <w:rFonts w:eastAsiaTheme="minorHAnsi" w:cstheme="minorBidi"/>
                <w:sz w:val="22"/>
                <w:szCs w:val="22"/>
                <w:lang w:val="es-PA" w:eastAsia="en-US"/>
              </w:rPr>
            </w:pPr>
            <w:r>
              <w:rPr>
                <w:rFonts w:eastAsiaTheme="minorHAnsi" w:cstheme="minorBidi"/>
                <w:sz w:val="22"/>
                <w:szCs w:val="22"/>
                <w:lang w:val="es-PA" w:eastAsia="en-US"/>
              </w:rPr>
              <w:t>UNDAC</w:t>
            </w:r>
          </w:p>
        </w:tc>
        <w:tc>
          <w:tcPr>
            <w:tcW w:w="3008" w:type="dxa"/>
          </w:tcPr>
          <w:p w14:paraId="7E2F9315" w14:textId="77777777" w:rsidR="00673366" w:rsidRDefault="00C01758" w:rsidP="00C01758">
            <w:pPr>
              <w:pStyle w:val="ochacontenttext"/>
              <w:rPr>
                <w:rFonts w:eastAsiaTheme="minorHAnsi" w:cstheme="minorBidi"/>
                <w:sz w:val="22"/>
                <w:szCs w:val="22"/>
                <w:lang w:val="es-PA" w:eastAsia="en-US"/>
              </w:rPr>
            </w:pPr>
            <w:r>
              <w:rPr>
                <w:rFonts w:eastAsiaTheme="minorHAnsi" w:cstheme="minorBidi"/>
                <w:sz w:val="22"/>
                <w:szCs w:val="22"/>
                <w:lang w:val="es-PA" w:eastAsia="en-US"/>
              </w:rPr>
              <w:t>17.12.2014 – 02.01.2015</w:t>
            </w:r>
          </w:p>
        </w:tc>
      </w:tr>
      <w:tr w:rsidR="00C01758" w14:paraId="15EE87EE" w14:textId="77777777" w:rsidTr="00C01758">
        <w:trPr>
          <w:cnfStyle w:val="000000100000" w:firstRow="0" w:lastRow="0" w:firstColumn="0" w:lastColumn="0" w:oddVBand="0" w:evenVBand="0" w:oddHBand="1" w:evenHBand="0" w:firstRowFirstColumn="0" w:firstRowLastColumn="0" w:lastRowFirstColumn="0" w:lastRowLastColumn="0"/>
        </w:trPr>
        <w:tc>
          <w:tcPr>
            <w:tcW w:w="2657" w:type="dxa"/>
          </w:tcPr>
          <w:p w14:paraId="34CB973E" w14:textId="77777777" w:rsidR="00673366" w:rsidRDefault="00C01758" w:rsidP="00673366">
            <w:pPr>
              <w:pStyle w:val="ochacontenttext"/>
              <w:jc w:val="both"/>
              <w:rPr>
                <w:rFonts w:eastAsiaTheme="minorHAnsi" w:cstheme="minorBidi"/>
                <w:sz w:val="22"/>
                <w:szCs w:val="22"/>
                <w:lang w:val="es-PA" w:eastAsia="en-US"/>
              </w:rPr>
            </w:pPr>
            <w:r>
              <w:rPr>
                <w:rFonts w:eastAsiaTheme="minorHAnsi" w:cstheme="minorBidi"/>
                <w:sz w:val="22"/>
                <w:szCs w:val="22"/>
                <w:lang w:val="es-PA" w:eastAsia="en-US"/>
              </w:rPr>
              <w:t>Haruka Ezaki</w:t>
            </w:r>
          </w:p>
        </w:tc>
        <w:tc>
          <w:tcPr>
            <w:tcW w:w="1704" w:type="dxa"/>
          </w:tcPr>
          <w:p w14:paraId="0175F94D" w14:textId="77777777" w:rsidR="00673366" w:rsidRDefault="00C01758" w:rsidP="00673366">
            <w:pPr>
              <w:pStyle w:val="ochacontenttext"/>
              <w:jc w:val="both"/>
              <w:rPr>
                <w:rFonts w:eastAsiaTheme="minorHAnsi" w:cstheme="minorBidi"/>
                <w:sz w:val="22"/>
                <w:szCs w:val="22"/>
                <w:lang w:val="es-PA" w:eastAsia="en-US"/>
              </w:rPr>
            </w:pPr>
            <w:r>
              <w:rPr>
                <w:rFonts w:eastAsiaTheme="minorHAnsi" w:cstheme="minorBidi"/>
                <w:sz w:val="22"/>
                <w:szCs w:val="22"/>
                <w:lang w:val="es-PA" w:eastAsia="en-US"/>
              </w:rPr>
              <w:t>Japan</w:t>
            </w:r>
          </w:p>
        </w:tc>
        <w:tc>
          <w:tcPr>
            <w:tcW w:w="3260" w:type="dxa"/>
          </w:tcPr>
          <w:p w14:paraId="25E9A5F0" w14:textId="77777777" w:rsidR="00673366" w:rsidRDefault="00C01758" w:rsidP="00673366">
            <w:pPr>
              <w:pStyle w:val="ochacontenttext"/>
              <w:jc w:val="both"/>
              <w:rPr>
                <w:rFonts w:eastAsiaTheme="minorHAnsi" w:cstheme="minorBidi"/>
                <w:sz w:val="22"/>
                <w:szCs w:val="22"/>
                <w:lang w:val="es-PA" w:eastAsia="en-US"/>
              </w:rPr>
            </w:pPr>
            <w:r>
              <w:rPr>
                <w:rFonts w:eastAsiaTheme="minorHAnsi" w:cstheme="minorBidi"/>
                <w:sz w:val="22"/>
                <w:szCs w:val="22"/>
                <w:lang w:val="es-PA" w:eastAsia="en-US"/>
              </w:rPr>
              <w:t>UNDAC</w:t>
            </w:r>
          </w:p>
        </w:tc>
        <w:tc>
          <w:tcPr>
            <w:tcW w:w="3008" w:type="dxa"/>
          </w:tcPr>
          <w:p w14:paraId="0F8FAD0D" w14:textId="77777777" w:rsidR="00673366" w:rsidRDefault="00C01758" w:rsidP="00673366">
            <w:pPr>
              <w:pStyle w:val="ochacontenttext"/>
              <w:jc w:val="both"/>
              <w:rPr>
                <w:rFonts w:eastAsiaTheme="minorHAnsi" w:cstheme="minorBidi"/>
                <w:sz w:val="22"/>
                <w:szCs w:val="22"/>
                <w:lang w:val="es-PA" w:eastAsia="en-US"/>
              </w:rPr>
            </w:pPr>
            <w:r>
              <w:rPr>
                <w:rFonts w:eastAsiaTheme="minorHAnsi" w:cstheme="minorBidi"/>
                <w:sz w:val="22"/>
                <w:szCs w:val="22"/>
                <w:lang w:val="es-PA" w:eastAsia="en-US"/>
              </w:rPr>
              <w:t>17.12.2014 – 04.01.2015</w:t>
            </w:r>
          </w:p>
        </w:tc>
      </w:tr>
      <w:tr w:rsidR="00C01758" w14:paraId="61E7D2C3" w14:textId="77777777" w:rsidTr="00C01758">
        <w:trPr>
          <w:cnfStyle w:val="000000010000" w:firstRow="0" w:lastRow="0" w:firstColumn="0" w:lastColumn="0" w:oddVBand="0" w:evenVBand="0" w:oddHBand="0" w:evenHBand="1" w:firstRowFirstColumn="0" w:firstRowLastColumn="0" w:lastRowFirstColumn="0" w:lastRowLastColumn="0"/>
        </w:trPr>
        <w:tc>
          <w:tcPr>
            <w:tcW w:w="2657" w:type="dxa"/>
          </w:tcPr>
          <w:p w14:paraId="7AE17A21" w14:textId="77777777" w:rsidR="00673366" w:rsidRDefault="00C01758" w:rsidP="00C01758">
            <w:pPr>
              <w:pStyle w:val="ochacontenttext"/>
              <w:rPr>
                <w:rFonts w:eastAsiaTheme="minorHAnsi" w:cstheme="minorBidi"/>
                <w:sz w:val="22"/>
                <w:szCs w:val="22"/>
                <w:lang w:val="es-PA" w:eastAsia="en-US"/>
              </w:rPr>
            </w:pPr>
            <w:r>
              <w:rPr>
                <w:rFonts w:eastAsiaTheme="minorHAnsi" w:cstheme="minorBidi"/>
                <w:sz w:val="22"/>
                <w:szCs w:val="22"/>
                <w:lang w:val="es-PA" w:eastAsia="en-US"/>
              </w:rPr>
              <w:t>Stephane Le Floch (Associate expert)</w:t>
            </w:r>
          </w:p>
        </w:tc>
        <w:tc>
          <w:tcPr>
            <w:tcW w:w="1704" w:type="dxa"/>
          </w:tcPr>
          <w:p w14:paraId="3717432E" w14:textId="77777777" w:rsidR="00673366" w:rsidRDefault="00C01758" w:rsidP="00673366">
            <w:pPr>
              <w:pStyle w:val="ochacontenttext"/>
              <w:jc w:val="both"/>
              <w:rPr>
                <w:rFonts w:eastAsiaTheme="minorHAnsi" w:cstheme="minorBidi"/>
                <w:sz w:val="22"/>
                <w:szCs w:val="22"/>
                <w:lang w:val="es-PA" w:eastAsia="en-US"/>
              </w:rPr>
            </w:pPr>
            <w:r>
              <w:rPr>
                <w:rFonts w:eastAsiaTheme="minorHAnsi" w:cstheme="minorBidi"/>
                <w:sz w:val="22"/>
                <w:szCs w:val="22"/>
                <w:lang w:val="es-PA" w:eastAsia="en-US"/>
              </w:rPr>
              <w:t>France</w:t>
            </w:r>
          </w:p>
        </w:tc>
        <w:tc>
          <w:tcPr>
            <w:tcW w:w="3260" w:type="dxa"/>
          </w:tcPr>
          <w:p w14:paraId="12790F42" w14:textId="77777777" w:rsidR="00673366" w:rsidRDefault="00C01758" w:rsidP="00C01758">
            <w:pPr>
              <w:pStyle w:val="ochacontenttext"/>
              <w:rPr>
                <w:rFonts w:eastAsiaTheme="minorHAnsi" w:cstheme="minorBidi"/>
                <w:sz w:val="22"/>
                <w:szCs w:val="22"/>
                <w:lang w:val="es-PA" w:eastAsia="en-US"/>
              </w:rPr>
            </w:pPr>
            <w:r>
              <w:rPr>
                <w:rFonts w:eastAsiaTheme="minorHAnsi" w:cstheme="minorBidi"/>
                <w:sz w:val="22"/>
                <w:szCs w:val="22"/>
                <w:lang w:val="es-PA" w:eastAsia="en-US"/>
              </w:rPr>
              <w:t>CEDRE (deployed through European Union Civil Protection mechanism)</w:t>
            </w:r>
          </w:p>
        </w:tc>
        <w:tc>
          <w:tcPr>
            <w:tcW w:w="3008" w:type="dxa"/>
          </w:tcPr>
          <w:p w14:paraId="494B1EC2" w14:textId="77777777" w:rsidR="00673366" w:rsidRDefault="005B54A0" w:rsidP="00673366">
            <w:pPr>
              <w:pStyle w:val="ochacontenttext"/>
              <w:jc w:val="both"/>
              <w:rPr>
                <w:rFonts w:eastAsiaTheme="minorHAnsi" w:cstheme="minorBidi"/>
                <w:sz w:val="22"/>
                <w:szCs w:val="22"/>
                <w:lang w:val="es-PA" w:eastAsia="en-US"/>
              </w:rPr>
            </w:pPr>
            <w:r>
              <w:rPr>
                <w:rFonts w:eastAsiaTheme="minorHAnsi" w:cstheme="minorBidi"/>
                <w:sz w:val="22"/>
                <w:szCs w:val="22"/>
                <w:lang w:val="es-PA" w:eastAsia="en-US"/>
              </w:rPr>
              <w:t>18</w:t>
            </w:r>
            <w:r w:rsidR="00C01758">
              <w:rPr>
                <w:rFonts w:eastAsiaTheme="minorHAnsi" w:cstheme="minorBidi"/>
                <w:sz w:val="22"/>
                <w:szCs w:val="22"/>
                <w:lang w:val="es-PA" w:eastAsia="en-US"/>
              </w:rPr>
              <w:t>.12.2014 – 04.01.2015</w:t>
            </w:r>
          </w:p>
        </w:tc>
      </w:tr>
    </w:tbl>
    <w:p w14:paraId="158D7E53" w14:textId="77777777" w:rsidR="00673366" w:rsidRDefault="00673366" w:rsidP="00673366">
      <w:pPr>
        <w:pStyle w:val="ochacontenttext"/>
        <w:jc w:val="both"/>
        <w:rPr>
          <w:rFonts w:eastAsiaTheme="minorHAnsi" w:cstheme="minorBidi"/>
          <w:sz w:val="22"/>
          <w:szCs w:val="22"/>
          <w:lang w:eastAsia="en-US"/>
        </w:rPr>
      </w:pPr>
    </w:p>
    <w:p w14:paraId="7033F6D0" w14:textId="77777777" w:rsidR="00C01758" w:rsidRDefault="00C01758" w:rsidP="00C01758">
      <w:pPr>
        <w:pStyle w:val="BodyText"/>
        <w:rPr>
          <w:rFonts w:ascii="Arial" w:eastAsiaTheme="minorHAnsi" w:hAnsi="Arial" w:cstheme="minorBidi"/>
          <w:color w:val="404040"/>
          <w:szCs w:val="22"/>
        </w:rPr>
      </w:pPr>
      <w:r>
        <w:rPr>
          <w:rFonts w:ascii="Arial" w:eastAsiaTheme="minorHAnsi" w:hAnsi="Arial" w:cstheme="minorBidi"/>
          <w:color w:val="404040"/>
          <w:szCs w:val="22"/>
        </w:rPr>
        <w:t>The team was divided into six sub-t</w:t>
      </w:r>
      <w:r w:rsidRPr="00C01758">
        <w:rPr>
          <w:rFonts w:ascii="Arial" w:eastAsiaTheme="minorHAnsi" w:hAnsi="Arial" w:cstheme="minorBidi"/>
          <w:color w:val="404040"/>
          <w:szCs w:val="22"/>
        </w:rPr>
        <w:t>eams, shown in the organizational chart below.</w:t>
      </w:r>
    </w:p>
    <w:p w14:paraId="14908067" w14:textId="77777777" w:rsidR="00C01758" w:rsidRPr="00C01758" w:rsidRDefault="00C01758" w:rsidP="00C01758">
      <w:pPr>
        <w:pStyle w:val="BodyText"/>
        <w:rPr>
          <w:rFonts w:ascii="Arial" w:eastAsiaTheme="minorHAnsi" w:hAnsi="Arial" w:cstheme="minorBidi"/>
          <w:color w:val="404040"/>
          <w:szCs w:val="22"/>
        </w:rPr>
      </w:pPr>
    </w:p>
    <w:p w14:paraId="069AA632" w14:textId="77777777" w:rsidR="00C01758" w:rsidRPr="009E4639" w:rsidRDefault="00C01758" w:rsidP="00C01758">
      <w:pPr>
        <w:pStyle w:val="BodyText"/>
      </w:pPr>
      <w:r>
        <w:rPr>
          <w:noProof/>
          <w:lang w:val="en-GB" w:eastAsia="en-GB"/>
        </w:rPr>
        <w:drawing>
          <wp:inline distT="0" distB="0" distL="0" distR="0" wp14:anchorId="281FAE58" wp14:editId="62702787">
            <wp:extent cx="6605740" cy="3009417"/>
            <wp:effectExtent l="0" t="0" r="0" b="0"/>
            <wp:docPr id="16" name="Picture 16" descr="D:\users\WAHLST~1\AppData\Local\Temp\notes7B2A2C\Mission_Personnel_2015-01-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D:\users\WAHLST~1\AppData\Local\Temp\notes7B2A2C\Mission_Personnel_2015-01-12.png"/>
                    <pic:cNvPicPr>
                      <a:picLocks noChangeAspect="1" noChangeArrowheads="1"/>
                    </pic:cNvPicPr>
                  </pic:nvPicPr>
                  <pic:blipFill>
                    <a:blip r:embed="rId13" cstate="screen">
                      <a:extLst>
                        <a:ext uri="{28A0092B-C50C-407E-A947-70E740481C1C}">
                          <a14:useLocalDpi xmlns:a14="http://schemas.microsoft.com/office/drawing/2010/main"/>
                        </a:ext>
                      </a:extLst>
                    </a:blip>
                    <a:srcRect/>
                    <a:stretch>
                      <a:fillRect/>
                    </a:stretch>
                  </pic:blipFill>
                  <pic:spPr bwMode="auto">
                    <a:xfrm>
                      <a:off x="0" y="0"/>
                      <a:ext cx="6607316" cy="3010135"/>
                    </a:xfrm>
                    <a:prstGeom prst="rect">
                      <a:avLst/>
                    </a:prstGeom>
                    <a:noFill/>
                    <a:ln>
                      <a:noFill/>
                    </a:ln>
                  </pic:spPr>
                </pic:pic>
              </a:graphicData>
            </a:graphic>
          </wp:inline>
        </w:drawing>
      </w:r>
    </w:p>
    <w:p w14:paraId="2576B6DE" w14:textId="77777777" w:rsidR="00673366" w:rsidRPr="00673366" w:rsidRDefault="00673366" w:rsidP="00673366">
      <w:pPr>
        <w:pStyle w:val="ochacontenttext"/>
        <w:jc w:val="both"/>
        <w:rPr>
          <w:rFonts w:eastAsiaTheme="minorHAnsi" w:cstheme="minorBidi"/>
          <w:sz w:val="22"/>
          <w:szCs w:val="22"/>
          <w:lang w:eastAsia="en-US"/>
        </w:rPr>
      </w:pPr>
    </w:p>
    <w:p w14:paraId="56521B12" w14:textId="77777777" w:rsidR="006E3A7E" w:rsidRPr="006E3A7E" w:rsidRDefault="006E3A7E" w:rsidP="006E3A7E">
      <w:pPr>
        <w:pStyle w:val="ochacontentheading"/>
        <w:ind w:right="-427"/>
        <w:rPr>
          <w:lang w:val="en-US"/>
        </w:rPr>
      </w:pPr>
      <w:r w:rsidRPr="006E3A7E">
        <w:rPr>
          <w:lang w:val="en-US"/>
        </w:rPr>
        <w:t>Requesting entity</w:t>
      </w:r>
    </w:p>
    <w:p w14:paraId="26E552C3" w14:textId="77777777" w:rsidR="006E3A7E" w:rsidRPr="006E3A7E" w:rsidRDefault="00C01758" w:rsidP="00BF0505">
      <w:pPr>
        <w:pStyle w:val="ochacontenttext"/>
        <w:jc w:val="both"/>
        <w:rPr>
          <w:rFonts w:eastAsiaTheme="minorHAnsi" w:cstheme="minorBidi"/>
          <w:sz w:val="22"/>
          <w:szCs w:val="22"/>
          <w:lang w:eastAsia="en-US"/>
        </w:rPr>
      </w:pPr>
      <w:r w:rsidRPr="00C01758">
        <w:rPr>
          <w:rFonts w:eastAsiaTheme="minorHAnsi" w:cstheme="minorBidi"/>
          <w:sz w:val="22"/>
          <w:szCs w:val="22"/>
          <w:lang w:eastAsia="en-US"/>
        </w:rPr>
        <w:t xml:space="preserve">On 15 December, the Economic Relations Division (ERD) of the Ministry of Finance </w:t>
      </w:r>
      <w:r>
        <w:rPr>
          <w:rFonts w:eastAsiaTheme="minorHAnsi" w:cstheme="minorBidi"/>
          <w:sz w:val="22"/>
          <w:szCs w:val="22"/>
          <w:lang w:eastAsia="en-US"/>
        </w:rPr>
        <w:t xml:space="preserve">of the Government of Bangladesh (GoB) </w:t>
      </w:r>
      <w:r w:rsidRPr="00C01758">
        <w:rPr>
          <w:rFonts w:eastAsiaTheme="minorHAnsi" w:cstheme="minorBidi"/>
          <w:sz w:val="22"/>
          <w:szCs w:val="22"/>
          <w:lang w:eastAsia="en-US"/>
        </w:rPr>
        <w:t>submitted a request to the United Nations Developm</w:t>
      </w:r>
      <w:r>
        <w:rPr>
          <w:rFonts w:eastAsiaTheme="minorHAnsi" w:cstheme="minorBidi"/>
          <w:sz w:val="22"/>
          <w:szCs w:val="22"/>
          <w:lang w:eastAsia="en-US"/>
        </w:rPr>
        <w:t xml:space="preserve">ent Programme (UNDP) </w:t>
      </w:r>
      <w:r w:rsidRPr="00C01758">
        <w:rPr>
          <w:rFonts w:eastAsiaTheme="minorHAnsi" w:cstheme="minorBidi"/>
          <w:sz w:val="22"/>
          <w:szCs w:val="22"/>
          <w:lang w:eastAsia="en-US"/>
        </w:rPr>
        <w:t xml:space="preserve">to provide technical assistance </w:t>
      </w:r>
      <w:r>
        <w:rPr>
          <w:rFonts w:eastAsiaTheme="minorHAnsi" w:cstheme="minorBidi"/>
          <w:sz w:val="22"/>
          <w:szCs w:val="22"/>
          <w:lang w:eastAsia="en-US"/>
        </w:rPr>
        <w:t xml:space="preserve">in response to the Sundarbans oil spill </w:t>
      </w:r>
      <w:r w:rsidRPr="00C01758">
        <w:rPr>
          <w:rFonts w:eastAsiaTheme="minorHAnsi" w:cstheme="minorBidi"/>
          <w:sz w:val="22"/>
          <w:szCs w:val="22"/>
          <w:lang w:eastAsia="en-US"/>
        </w:rPr>
        <w:t>to: 1) assess the oil spill containment and clean-up needs, and 2) conduct an assessment and draft an action plan for recommended mitigation measures.</w:t>
      </w:r>
    </w:p>
    <w:p w14:paraId="46A4D8C8" w14:textId="77777777" w:rsidR="006E3A7E" w:rsidRPr="006E3A7E" w:rsidRDefault="006E3A7E" w:rsidP="006E3A7E">
      <w:pPr>
        <w:pStyle w:val="ochacontentheading"/>
        <w:ind w:right="-427"/>
        <w:rPr>
          <w:lang w:val="en-US"/>
        </w:rPr>
      </w:pPr>
      <w:r w:rsidRPr="006E3A7E">
        <w:rPr>
          <w:lang w:val="en-US"/>
        </w:rPr>
        <w:t>Why did the situation require UNDAC to be requested?</w:t>
      </w:r>
    </w:p>
    <w:p w14:paraId="3D1D579C" w14:textId="77777777" w:rsidR="006E3A7E" w:rsidRPr="00C01758" w:rsidRDefault="00673366" w:rsidP="00C01758">
      <w:pPr>
        <w:spacing w:before="240"/>
        <w:jc w:val="both"/>
        <w:rPr>
          <w:rFonts w:cs="Arial"/>
          <w:bCs/>
          <w:sz w:val="22"/>
          <w:lang w:val="en-GB"/>
        </w:rPr>
      </w:pPr>
      <w:r w:rsidRPr="00C01758">
        <w:rPr>
          <w:rFonts w:cs="Arial"/>
          <w:bCs/>
          <w:sz w:val="22"/>
          <w:lang w:val="en-GB"/>
        </w:rPr>
        <w:t>A tanker carrying a reported 357,664 litres of heavy fuel oil collided on 9 December, 2014, at around 5:00 am local time, with another vessel and partly sank in the Shela River situated within the Sundarbans mangrove region in Bangladesh. A major breach was made in the hull causing oil to spill into the river and adjacent side channels and creeks. By the afternoon of the next day the oil had spread at least 20 km upstream to Mongla and at least 20 km downstream to Horintana. The accident caused widespread concern for the Sundarbans ecosystem, which is the world’s largest mangrove forest and has been a Ramsar site since 1992 and part of which is a UNESCO World Heritage site since 1997. Due to its richness of biological diversity the entire Sundarbans (6,017 square kilometres) is under some form of state protection. Furthermore, millions of Bangladeshis depend upon the Sundarbans for food, livelihoods and shelter. The oil spill took place within the Chandpai Wildlife Sanctuary, which was recently established to protect important dolphin habitat.</w:t>
      </w:r>
      <w:r w:rsidR="00C01758" w:rsidRPr="00C01758">
        <w:rPr>
          <w:rFonts w:cs="Arial"/>
          <w:bCs/>
          <w:sz w:val="22"/>
          <w:lang w:val="en-GB"/>
        </w:rPr>
        <w:t xml:space="preserve"> Concern about the potential impacts of the oil to the ecosystem and the communities that depend on it for their livelihoods, led the Government of Bangladesh on 15 December 2014 to request the United Nations Development Programme (UNDP) provide technical assistance in assessing the impacts and supporting the response.</w:t>
      </w:r>
      <w:r w:rsidRPr="00C01758">
        <w:rPr>
          <w:rFonts w:cs="Arial"/>
          <w:bCs/>
          <w:sz w:val="22"/>
          <w:lang w:val="en-GB"/>
        </w:rPr>
        <w:t xml:space="preserve"> The location of the spill is shown in Figure 1.</w:t>
      </w:r>
    </w:p>
    <w:p w14:paraId="29B6C52E" w14:textId="77777777" w:rsidR="00673366" w:rsidRDefault="00673366" w:rsidP="00673366">
      <w:pPr>
        <w:spacing w:before="240"/>
        <w:rPr>
          <w:rFonts w:cs="Arial"/>
          <w:bCs/>
          <w:sz w:val="21"/>
          <w:szCs w:val="21"/>
          <w:lang w:val="en-GB"/>
        </w:rPr>
      </w:pPr>
      <w:r>
        <w:rPr>
          <w:rFonts w:eastAsia="MS Mincho"/>
          <w:noProof/>
          <w:lang w:val="en-GB" w:eastAsia="en-GB"/>
        </w:rPr>
        <w:drawing>
          <wp:inline distT="0" distB="0" distL="0" distR="0" wp14:anchorId="03A963C7" wp14:editId="57A29DB0">
            <wp:extent cx="5760720" cy="4072721"/>
            <wp:effectExtent l="0" t="0" r="0" b="4445"/>
            <wp:docPr id="2" name="Picture 2" descr="D:\users\WAHLSTROME\Downloads\Context map 201501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D:\users\WAHLSTROME\Downloads\Context map 20150121.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60720" cy="4072721"/>
                    </a:xfrm>
                    <a:prstGeom prst="rect">
                      <a:avLst/>
                    </a:prstGeom>
                    <a:noFill/>
                    <a:ln>
                      <a:noFill/>
                    </a:ln>
                  </pic:spPr>
                </pic:pic>
              </a:graphicData>
            </a:graphic>
          </wp:inline>
        </w:drawing>
      </w:r>
    </w:p>
    <w:p w14:paraId="14885FB4" w14:textId="09C28FEB" w:rsidR="008E1F37" w:rsidRPr="008E1F37" w:rsidRDefault="008E1F37" w:rsidP="00673366">
      <w:pPr>
        <w:spacing w:before="240"/>
        <w:rPr>
          <w:rFonts w:cs="Arial"/>
          <w:bCs/>
          <w:i/>
          <w:szCs w:val="20"/>
          <w:lang w:val="en-GB"/>
        </w:rPr>
      </w:pPr>
      <w:r w:rsidRPr="008E1F37">
        <w:rPr>
          <w:rFonts w:cs="Arial"/>
          <w:b/>
          <w:bCs/>
          <w:i/>
          <w:szCs w:val="20"/>
          <w:lang w:val="en-GB"/>
        </w:rPr>
        <w:t>Figure 1.</w:t>
      </w:r>
      <w:r w:rsidRPr="008E1F37">
        <w:rPr>
          <w:rFonts w:cs="Arial"/>
          <w:bCs/>
          <w:i/>
          <w:szCs w:val="20"/>
          <w:lang w:val="en-GB"/>
        </w:rPr>
        <w:t xml:space="preserve"> Location of oil tanker accident site</w:t>
      </w:r>
    </w:p>
    <w:p w14:paraId="63B73074" w14:textId="77777777" w:rsidR="006E3A7E" w:rsidRPr="006E3A7E" w:rsidRDefault="006E3A7E" w:rsidP="006E3A7E">
      <w:pPr>
        <w:pStyle w:val="ochacontentheading"/>
        <w:ind w:right="-427"/>
        <w:rPr>
          <w:lang w:val="en-US"/>
        </w:rPr>
      </w:pPr>
      <w:r>
        <w:rPr>
          <w:lang w:val="en-US"/>
        </w:rPr>
        <w:lastRenderedPageBreak/>
        <w:t>Terms of reference of the UNDAC mission</w:t>
      </w:r>
    </w:p>
    <w:p w14:paraId="05CABB92" w14:textId="77777777" w:rsidR="00C01758" w:rsidRPr="00C01758" w:rsidRDefault="00C01758" w:rsidP="00C01758">
      <w:pPr>
        <w:spacing w:before="240"/>
        <w:rPr>
          <w:rFonts w:cs="Arial"/>
          <w:bCs/>
          <w:sz w:val="22"/>
          <w:lang w:val="en-GB"/>
        </w:rPr>
      </w:pPr>
      <w:r w:rsidRPr="00C01758">
        <w:rPr>
          <w:rFonts w:cs="Arial"/>
          <w:bCs/>
          <w:sz w:val="22"/>
          <w:lang w:val="en-GB"/>
        </w:rPr>
        <w:t>The objective of the Joint UN / GoB Sundarbans Oil Spill Response mission was to:</w:t>
      </w:r>
    </w:p>
    <w:p w14:paraId="4D8A72F5" w14:textId="77777777" w:rsidR="00C01758" w:rsidRPr="00C01758" w:rsidRDefault="00C01758" w:rsidP="00C01758">
      <w:pPr>
        <w:tabs>
          <w:tab w:val="left" w:pos="709"/>
        </w:tabs>
        <w:spacing w:before="240"/>
        <w:ind w:left="709" w:hanging="425"/>
        <w:rPr>
          <w:rFonts w:cs="Arial"/>
          <w:bCs/>
          <w:sz w:val="22"/>
          <w:lang w:val="en-GB"/>
        </w:rPr>
      </w:pPr>
      <w:r w:rsidRPr="00C01758">
        <w:rPr>
          <w:rFonts w:cs="Arial"/>
          <w:bCs/>
          <w:sz w:val="22"/>
          <w:lang w:val="en-GB"/>
        </w:rPr>
        <w:t>1.</w:t>
      </w:r>
      <w:r w:rsidRPr="00C01758">
        <w:rPr>
          <w:rFonts w:cs="Arial"/>
          <w:bCs/>
          <w:sz w:val="22"/>
          <w:lang w:val="en-GB"/>
        </w:rPr>
        <w:tab/>
        <w:t xml:space="preserve">Strengthen GoB’s effort in containing oil spillage and clean-up </w:t>
      </w:r>
    </w:p>
    <w:p w14:paraId="5368ED35" w14:textId="77777777" w:rsidR="00C01758" w:rsidRPr="00C01758" w:rsidRDefault="00C01758" w:rsidP="00C01758">
      <w:pPr>
        <w:tabs>
          <w:tab w:val="left" w:pos="709"/>
        </w:tabs>
        <w:spacing w:before="240"/>
        <w:ind w:left="709" w:hanging="425"/>
        <w:rPr>
          <w:rFonts w:cs="Arial"/>
          <w:bCs/>
          <w:sz w:val="22"/>
          <w:lang w:val="en-GB"/>
        </w:rPr>
      </w:pPr>
      <w:r w:rsidRPr="00C01758">
        <w:rPr>
          <w:rFonts w:cs="Arial"/>
          <w:bCs/>
          <w:sz w:val="22"/>
          <w:lang w:val="en-GB"/>
        </w:rPr>
        <w:t>2.</w:t>
      </w:r>
      <w:r w:rsidRPr="00C01758">
        <w:rPr>
          <w:rFonts w:cs="Arial"/>
          <w:bCs/>
          <w:sz w:val="22"/>
          <w:lang w:val="en-GB"/>
        </w:rPr>
        <w:tab/>
        <w:t>Provide support to GoB in assessing the situation and developing an action plan for a phased response and recovery.</w:t>
      </w:r>
    </w:p>
    <w:p w14:paraId="7B60D9AD" w14:textId="77777777" w:rsidR="006E3A7E" w:rsidRDefault="00C01758" w:rsidP="00C01758">
      <w:pPr>
        <w:spacing w:before="240"/>
        <w:jc w:val="both"/>
        <w:rPr>
          <w:rFonts w:cs="Arial"/>
          <w:bCs/>
          <w:sz w:val="22"/>
          <w:lang w:val="en-GB"/>
        </w:rPr>
      </w:pPr>
      <w:r w:rsidRPr="00C01758">
        <w:rPr>
          <w:rFonts w:cs="Arial"/>
          <w:bCs/>
          <w:sz w:val="22"/>
          <w:lang w:val="en-GB"/>
        </w:rPr>
        <w:t>Since most of the containment and clean-up work - with the exception of oil waste management - had been completed by the time of the field assessment, the majority of the team was involved in the second objective namely the assessment of the situation and the development of appropriate recommendations.</w:t>
      </w:r>
    </w:p>
    <w:p w14:paraId="4D8BB05E" w14:textId="77777777" w:rsidR="00C01758" w:rsidRPr="00C01758" w:rsidRDefault="000C4148" w:rsidP="00C01758">
      <w:pPr>
        <w:spacing w:before="240"/>
        <w:jc w:val="both"/>
        <w:rPr>
          <w:rFonts w:cs="Arial"/>
          <w:bCs/>
          <w:sz w:val="22"/>
          <w:lang w:val="en-GB"/>
        </w:rPr>
      </w:pPr>
      <w:r>
        <w:rPr>
          <w:rFonts w:cs="Arial"/>
          <w:bCs/>
          <w:sz w:val="22"/>
          <w:lang w:val="en-GB"/>
        </w:rPr>
        <w:t>The overall missi</w:t>
      </w:r>
      <w:r w:rsidR="00C01758" w:rsidRPr="00C01758">
        <w:rPr>
          <w:rFonts w:cs="Arial"/>
          <w:bCs/>
          <w:sz w:val="22"/>
          <w:lang w:val="en-GB"/>
        </w:rPr>
        <w:t xml:space="preserve">on approach was guided carefully by the principles of neutrality and impartiality, as well as by the ‘do no harm’ principle to ensure that response and assessment efforts do no additional damage to the sensitive ecosystem of the Sundarban. The assessment built on local expertise and capacity, with international experts working in conjunction with national and local experts and MoEF Department of Environment (DOE) and Forest Department (FD) officials. This collaboration greatly contributed to the success of the assessment and is expected to facilitate the implementation of Team’s recommendations. This joint Bangladesh-international effort contributed to information-exchange between experts and developed local capacities on oil spill response and assessments. </w:t>
      </w:r>
    </w:p>
    <w:p w14:paraId="02F9DCFF" w14:textId="77777777" w:rsidR="00C01758" w:rsidRPr="00C01758" w:rsidRDefault="00C01758" w:rsidP="00C01758">
      <w:pPr>
        <w:spacing w:before="240"/>
        <w:jc w:val="both"/>
        <w:rPr>
          <w:rFonts w:cs="Arial"/>
          <w:bCs/>
          <w:sz w:val="22"/>
          <w:lang w:val="en-GB"/>
        </w:rPr>
      </w:pPr>
      <w:r w:rsidRPr="00C01758">
        <w:rPr>
          <w:rFonts w:cs="Arial"/>
          <w:bCs/>
          <w:sz w:val="22"/>
          <w:lang w:val="en-GB"/>
        </w:rPr>
        <w:t xml:space="preserve">The mission used a combination of literature review, on-site land- and vessel-based direct observations, interviews, sampling and surveys to develop findings and develop recommendations. The mission worked in close coordination with representatives of national authorities, academia, NGOs and UN agencies, as </w:t>
      </w:r>
      <w:r>
        <w:rPr>
          <w:rFonts w:cs="Arial"/>
          <w:bCs/>
          <w:sz w:val="22"/>
          <w:lang w:val="en-GB"/>
        </w:rPr>
        <w:t>well as communities.</w:t>
      </w:r>
    </w:p>
    <w:p w14:paraId="469FC3C1" w14:textId="77777777" w:rsidR="006E3A7E" w:rsidRPr="006E3A7E" w:rsidRDefault="006E3A7E" w:rsidP="006E3A7E">
      <w:pPr>
        <w:pStyle w:val="ochacontentheading"/>
        <w:ind w:right="-427"/>
        <w:rPr>
          <w:lang w:val="en-US"/>
        </w:rPr>
      </w:pPr>
      <w:r>
        <w:rPr>
          <w:lang w:val="en-US"/>
        </w:rPr>
        <w:t>Coordination issues</w:t>
      </w:r>
    </w:p>
    <w:p w14:paraId="7A25A7E4" w14:textId="77777777" w:rsidR="000939CD" w:rsidRDefault="00C01758" w:rsidP="00C01758">
      <w:pPr>
        <w:tabs>
          <w:tab w:val="left" w:pos="284"/>
        </w:tabs>
        <w:spacing w:before="120"/>
        <w:jc w:val="both"/>
        <w:rPr>
          <w:rFonts w:cs="Arial"/>
          <w:bCs/>
          <w:sz w:val="21"/>
          <w:szCs w:val="21"/>
          <w:lang w:val="en-GB"/>
        </w:rPr>
      </w:pPr>
      <w:r w:rsidRPr="00C01758">
        <w:rPr>
          <w:rFonts w:cs="Arial"/>
          <w:bCs/>
          <w:sz w:val="22"/>
          <w:lang w:val="en-GB"/>
        </w:rPr>
        <w:t xml:space="preserve">As the mission was of specific and technical nature, coordination was primarily undertaken through existing </w:t>
      </w:r>
      <w:r>
        <w:rPr>
          <w:rFonts w:cs="Arial"/>
          <w:bCs/>
          <w:sz w:val="22"/>
          <w:lang w:val="en-GB"/>
        </w:rPr>
        <w:t>UNDP / Government structures. The Deputy Team Leader was located in Dhaka and acted as the primary focal point between the Government and the team. He was also the primary focal point for coordination with various international and bilateral agencies located in the country; ensuring inclusion of bilateral experts and support into the Joint UN/GoB Assessment Team.</w:t>
      </w:r>
    </w:p>
    <w:p w14:paraId="11A6D270" w14:textId="77777777" w:rsidR="000939CD" w:rsidRPr="006E3A7E" w:rsidRDefault="000939CD" w:rsidP="000939CD">
      <w:pPr>
        <w:pStyle w:val="ochacontentheading"/>
        <w:ind w:right="-427"/>
        <w:rPr>
          <w:lang w:val="en-US"/>
        </w:rPr>
      </w:pPr>
      <w:r>
        <w:rPr>
          <w:lang w:val="en-US"/>
        </w:rPr>
        <w:t>Exit strategy/Handover</w:t>
      </w:r>
    </w:p>
    <w:p w14:paraId="47E3C8DC" w14:textId="1EDC7DC6" w:rsidR="001458E9" w:rsidRPr="001458E9" w:rsidRDefault="00C01758" w:rsidP="005B54A0">
      <w:pPr>
        <w:spacing w:before="240"/>
        <w:jc w:val="both"/>
        <w:rPr>
          <w:rFonts w:cs="Arial"/>
          <w:bCs/>
          <w:sz w:val="22"/>
          <w:lang w:val="en-GB"/>
        </w:rPr>
      </w:pPr>
      <w:r w:rsidRPr="00C01758">
        <w:rPr>
          <w:rFonts w:cs="Arial"/>
          <w:bCs/>
          <w:sz w:val="22"/>
          <w:lang w:val="en-GB"/>
        </w:rPr>
        <w:t>The report and assessment were prepared on the basis of information and observations possible within the missio</w:t>
      </w:r>
      <w:r w:rsidR="00A96B12">
        <w:rPr>
          <w:rFonts w:cs="Arial"/>
          <w:bCs/>
          <w:sz w:val="22"/>
          <w:lang w:val="en-GB"/>
        </w:rPr>
        <w:t>n timeframe. The mission focused</w:t>
      </w:r>
      <w:r w:rsidRPr="00C01758">
        <w:rPr>
          <w:rFonts w:cs="Arial"/>
          <w:bCs/>
          <w:sz w:val="22"/>
          <w:lang w:val="en-GB"/>
        </w:rPr>
        <w:t xml:space="preserve"> on the situation at the scene of the accident, as observed between</w:t>
      </w:r>
      <w:r w:rsidR="001458E9">
        <w:rPr>
          <w:rFonts w:cs="Arial"/>
          <w:bCs/>
          <w:sz w:val="22"/>
          <w:lang w:val="en-GB"/>
        </w:rPr>
        <w:t xml:space="preserve"> 22 and 28 December 2014</w:t>
      </w:r>
      <w:r w:rsidR="005B54A0">
        <w:rPr>
          <w:rFonts w:cs="Arial"/>
          <w:bCs/>
          <w:sz w:val="22"/>
          <w:lang w:val="en-GB"/>
        </w:rPr>
        <w:t>.</w:t>
      </w:r>
      <w:r w:rsidR="001458E9">
        <w:rPr>
          <w:rFonts w:cs="Arial"/>
          <w:bCs/>
          <w:sz w:val="22"/>
          <w:lang w:val="en-GB"/>
        </w:rPr>
        <w:t xml:space="preserve"> </w:t>
      </w:r>
      <w:r w:rsidR="005B54A0">
        <w:rPr>
          <w:rFonts w:cs="Arial"/>
          <w:bCs/>
          <w:sz w:val="22"/>
          <w:lang w:val="en-GB"/>
        </w:rPr>
        <w:t xml:space="preserve">The mission </w:t>
      </w:r>
      <w:r w:rsidR="001458E9">
        <w:rPr>
          <w:rFonts w:cs="Arial"/>
          <w:bCs/>
          <w:sz w:val="22"/>
          <w:lang w:val="en-GB"/>
        </w:rPr>
        <w:t>develop</w:t>
      </w:r>
      <w:r w:rsidR="005B54A0">
        <w:rPr>
          <w:rFonts w:cs="Arial"/>
          <w:bCs/>
          <w:sz w:val="22"/>
          <w:lang w:val="en-GB"/>
        </w:rPr>
        <w:t>ed</w:t>
      </w:r>
      <w:r w:rsidR="001458E9">
        <w:rPr>
          <w:rFonts w:cs="Arial"/>
          <w:bCs/>
          <w:sz w:val="22"/>
          <w:lang w:val="en-GB"/>
        </w:rPr>
        <w:t xml:space="preserve"> </w:t>
      </w:r>
      <w:r w:rsidRPr="00C01758">
        <w:rPr>
          <w:rFonts w:cs="Arial"/>
          <w:bCs/>
          <w:sz w:val="22"/>
          <w:lang w:val="en-GB"/>
        </w:rPr>
        <w:t>immediate, mid-term and long-term recommendations to address the oil spill, reduce the potential impacts to humans and the environment, and prevent future spills</w:t>
      </w:r>
      <w:r w:rsidR="00A96B12">
        <w:rPr>
          <w:rFonts w:cs="Arial"/>
          <w:bCs/>
          <w:sz w:val="22"/>
          <w:lang w:val="en-GB"/>
        </w:rPr>
        <w:t xml:space="preserve"> (Annex 2)</w:t>
      </w:r>
      <w:r w:rsidRPr="00C01758">
        <w:rPr>
          <w:rFonts w:cs="Arial"/>
          <w:bCs/>
          <w:sz w:val="22"/>
          <w:lang w:val="en-GB"/>
        </w:rPr>
        <w:t>.</w:t>
      </w:r>
      <w:r w:rsidR="005B54A0">
        <w:rPr>
          <w:rFonts w:cs="Arial"/>
          <w:bCs/>
          <w:sz w:val="22"/>
          <w:lang w:val="en-GB"/>
        </w:rPr>
        <w:t xml:space="preserve"> These recommendations were presented to the MoEF on 31 December 2014. </w:t>
      </w:r>
      <w:r w:rsidR="001458E9" w:rsidRPr="001458E9">
        <w:rPr>
          <w:rFonts w:cs="Arial"/>
          <w:bCs/>
          <w:sz w:val="22"/>
          <w:lang w:val="en-GB"/>
        </w:rPr>
        <w:t xml:space="preserve">MoEF </w:t>
      </w:r>
      <w:r w:rsidR="005B54A0">
        <w:rPr>
          <w:rFonts w:cs="Arial"/>
          <w:bCs/>
          <w:sz w:val="22"/>
          <w:lang w:val="en-GB"/>
        </w:rPr>
        <w:t xml:space="preserve">is </w:t>
      </w:r>
      <w:r w:rsidR="000C4148">
        <w:rPr>
          <w:rFonts w:cs="Arial"/>
          <w:bCs/>
          <w:sz w:val="22"/>
          <w:lang w:val="en-GB"/>
        </w:rPr>
        <w:t xml:space="preserve">currently </w:t>
      </w:r>
      <w:r w:rsidR="001458E9" w:rsidRPr="001458E9">
        <w:rPr>
          <w:rFonts w:cs="Arial"/>
          <w:bCs/>
          <w:sz w:val="22"/>
          <w:lang w:val="en-GB"/>
        </w:rPr>
        <w:t>develop</w:t>
      </w:r>
      <w:r w:rsidR="000C4148">
        <w:rPr>
          <w:rFonts w:cs="Arial"/>
          <w:bCs/>
          <w:sz w:val="22"/>
          <w:lang w:val="en-GB"/>
        </w:rPr>
        <w:t>ing</w:t>
      </w:r>
      <w:r w:rsidR="001458E9" w:rsidRPr="001458E9">
        <w:rPr>
          <w:rFonts w:cs="Arial"/>
          <w:bCs/>
          <w:sz w:val="22"/>
          <w:lang w:val="en-GB"/>
        </w:rPr>
        <w:t xml:space="preserve"> an action plan to implement the </w:t>
      </w:r>
      <w:r w:rsidR="001458E9">
        <w:rPr>
          <w:rFonts w:cs="Arial"/>
          <w:bCs/>
          <w:sz w:val="22"/>
          <w:lang w:val="en-GB"/>
        </w:rPr>
        <w:t>provided</w:t>
      </w:r>
      <w:r w:rsidR="005B54A0">
        <w:rPr>
          <w:rFonts w:cs="Arial"/>
          <w:bCs/>
          <w:sz w:val="22"/>
          <w:lang w:val="en-GB"/>
        </w:rPr>
        <w:t xml:space="preserve"> recommendations provided by the mission as well as by other assessments. It was recommended that the action plan </w:t>
      </w:r>
      <w:r w:rsidR="001458E9" w:rsidRPr="001458E9">
        <w:rPr>
          <w:rFonts w:cs="Arial"/>
          <w:bCs/>
          <w:sz w:val="22"/>
          <w:lang w:val="en-GB"/>
        </w:rPr>
        <w:t>be developed in consultation with all affected stakeholders – includin</w:t>
      </w:r>
      <w:r w:rsidR="005B54A0">
        <w:rPr>
          <w:rFonts w:cs="Arial"/>
          <w:bCs/>
          <w:sz w:val="22"/>
          <w:lang w:val="en-GB"/>
        </w:rPr>
        <w:t xml:space="preserve">g all relevant Ministries – </w:t>
      </w:r>
      <w:r w:rsidR="001458E9" w:rsidRPr="001458E9">
        <w:rPr>
          <w:rFonts w:cs="Arial"/>
          <w:bCs/>
          <w:sz w:val="22"/>
          <w:lang w:val="en-GB"/>
        </w:rPr>
        <w:t>specify</w:t>
      </w:r>
      <w:r w:rsidR="005B54A0">
        <w:rPr>
          <w:rFonts w:cs="Arial"/>
          <w:bCs/>
          <w:sz w:val="22"/>
          <w:lang w:val="en-GB"/>
        </w:rPr>
        <w:t>ing</w:t>
      </w:r>
      <w:r w:rsidR="001458E9" w:rsidRPr="001458E9">
        <w:rPr>
          <w:rFonts w:cs="Arial"/>
          <w:bCs/>
          <w:sz w:val="22"/>
          <w:lang w:val="en-GB"/>
        </w:rPr>
        <w:t xml:space="preserve"> responsible parties, timelines and necessary resources to monitor the impacts of the oil spill and if necessary, carry out restoration activities. Support from the international community, UN agencies and civil society can be requested for the development and implementation of the plan.</w:t>
      </w:r>
    </w:p>
    <w:p w14:paraId="089D8647" w14:textId="77777777" w:rsidR="001458E9" w:rsidRPr="001458E9" w:rsidRDefault="001458E9" w:rsidP="001458E9">
      <w:pPr>
        <w:spacing w:before="240"/>
        <w:jc w:val="both"/>
        <w:rPr>
          <w:rFonts w:cs="Arial"/>
          <w:bCs/>
          <w:sz w:val="22"/>
          <w:lang w:val="en-GB"/>
        </w:rPr>
      </w:pPr>
      <w:r w:rsidRPr="001458E9">
        <w:rPr>
          <w:rFonts w:cs="Arial"/>
          <w:bCs/>
          <w:sz w:val="22"/>
          <w:lang w:val="en-GB"/>
        </w:rPr>
        <w:t xml:space="preserve">The Mission </w:t>
      </w:r>
      <w:r w:rsidR="005B54A0">
        <w:rPr>
          <w:rFonts w:cs="Arial"/>
          <w:bCs/>
          <w:sz w:val="22"/>
          <w:lang w:val="en-GB"/>
        </w:rPr>
        <w:t>additionally recommended</w:t>
      </w:r>
      <w:r w:rsidRPr="001458E9">
        <w:rPr>
          <w:rFonts w:cs="Arial"/>
          <w:bCs/>
          <w:sz w:val="22"/>
          <w:lang w:val="en-GB"/>
        </w:rPr>
        <w:t xml:space="preserve"> the action plan be independently evaluated at six months and two years to assess the follow up of the action plan. This periodic evaluation should be conducted in consultation with key Mission participants, including GoB, relevant academia, civil society and UN representatives, as appropriate. This will support accountability and sustainability in addition to providing </w:t>
      </w:r>
      <w:r w:rsidRPr="001458E9">
        <w:rPr>
          <w:rFonts w:cs="Arial"/>
          <w:bCs/>
          <w:sz w:val="22"/>
          <w:lang w:val="en-GB"/>
        </w:rPr>
        <w:lastRenderedPageBreak/>
        <w:t>recognition to stakeholders for what has been accomplished after the report, and for assessing if modifications are needed or possibly new recommendations added.</w:t>
      </w:r>
    </w:p>
    <w:p w14:paraId="1E3509EB" w14:textId="77777777" w:rsidR="001458E9" w:rsidRDefault="005B54A0" w:rsidP="00C01758">
      <w:pPr>
        <w:spacing w:before="240"/>
        <w:jc w:val="both"/>
        <w:rPr>
          <w:rFonts w:cs="Arial"/>
          <w:bCs/>
          <w:sz w:val="22"/>
          <w:lang w:val="en-GB"/>
        </w:rPr>
      </w:pPr>
      <w:r>
        <w:rPr>
          <w:rFonts w:cs="Arial"/>
          <w:bCs/>
          <w:sz w:val="22"/>
          <w:lang w:val="en-GB"/>
        </w:rPr>
        <w:t xml:space="preserve">Exit strategy and </w:t>
      </w:r>
      <w:r w:rsidR="00EA7C40">
        <w:rPr>
          <w:rFonts w:cs="Arial"/>
          <w:bCs/>
          <w:sz w:val="22"/>
          <w:lang w:val="en-GB"/>
        </w:rPr>
        <w:t xml:space="preserve">sustainable </w:t>
      </w:r>
      <w:r>
        <w:rPr>
          <w:rFonts w:cs="Arial"/>
          <w:bCs/>
          <w:sz w:val="22"/>
          <w:lang w:val="en-GB"/>
        </w:rPr>
        <w:t xml:space="preserve">handover was </w:t>
      </w:r>
      <w:r w:rsidR="000C4148">
        <w:rPr>
          <w:rFonts w:cs="Arial"/>
          <w:bCs/>
          <w:sz w:val="22"/>
          <w:lang w:val="en-GB"/>
        </w:rPr>
        <w:t>greatly facilitated by the fact</w:t>
      </w:r>
      <w:r>
        <w:rPr>
          <w:rFonts w:cs="Arial"/>
          <w:bCs/>
          <w:sz w:val="22"/>
          <w:lang w:val="en-GB"/>
        </w:rPr>
        <w:t xml:space="preserve"> </w:t>
      </w:r>
      <w:r w:rsidR="000C4148">
        <w:rPr>
          <w:rFonts w:cs="Arial"/>
          <w:bCs/>
          <w:sz w:val="22"/>
          <w:lang w:val="en-GB"/>
        </w:rPr>
        <w:t xml:space="preserve">that national authorities, academia and civil society were included in the team and had a key role in the development of the recommendations. This way it could be ensured that the proposed actions were feasible and adapted to local realities and capacities. </w:t>
      </w:r>
      <w:r w:rsidR="00EA7C40">
        <w:rPr>
          <w:rFonts w:cs="Arial"/>
          <w:bCs/>
          <w:sz w:val="22"/>
          <w:lang w:val="en-GB"/>
        </w:rPr>
        <w:t>The MoEF and the Forest Department are already conducting a number of proposed monitoring and assessment activities</w:t>
      </w:r>
      <w:r w:rsidR="000C4148">
        <w:rPr>
          <w:rFonts w:cs="Arial"/>
          <w:bCs/>
          <w:sz w:val="22"/>
          <w:lang w:val="en-GB"/>
        </w:rPr>
        <w:t>.</w:t>
      </w:r>
    </w:p>
    <w:p w14:paraId="73CA31B8" w14:textId="05DBCD0D" w:rsidR="000C4148" w:rsidRPr="00C01758" w:rsidRDefault="000C4148" w:rsidP="00C01758">
      <w:pPr>
        <w:spacing w:before="240"/>
        <w:jc w:val="both"/>
        <w:rPr>
          <w:rFonts w:cs="Arial"/>
          <w:bCs/>
          <w:sz w:val="22"/>
          <w:lang w:val="en-GB"/>
        </w:rPr>
      </w:pPr>
      <w:r>
        <w:rPr>
          <w:rFonts w:cs="Arial"/>
          <w:bCs/>
          <w:sz w:val="22"/>
          <w:lang w:val="en-GB"/>
        </w:rPr>
        <w:t xml:space="preserve">The role of UNDP and international development agencies in the assessment and liaison work was also imperative in ensuring that the recommendations and follow-up actions were </w:t>
      </w:r>
      <w:r w:rsidR="00EA7C40">
        <w:rPr>
          <w:rFonts w:cs="Arial"/>
          <w:bCs/>
          <w:sz w:val="22"/>
          <w:lang w:val="en-GB"/>
        </w:rPr>
        <w:t>included into longer-term projects and programmes.</w:t>
      </w:r>
      <w:r>
        <w:rPr>
          <w:rFonts w:cs="Arial"/>
          <w:bCs/>
          <w:sz w:val="22"/>
          <w:lang w:val="en-GB"/>
        </w:rPr>
        <w:t xml:space="preserve"> After the completion of the mission, </w:t>
      </w:r>
      <w:r w:rsidR="008E1F37">
        <w:rPr>
          <w:rFonts w:cs="Arial"/>
          <w:bCs/>
          <w:sz w:val="22"/>
          <w:lang w:val="en-GB"/>
        </w:rPr>
        <w:t>assessment and recovery activities</w:t>
      </w:r>
      <w:r>
        <w:rPr>
          <w:rFonts w:cs="Arial"/>
          <w:bCs/>
          <w:sz w:val="22"/>
          <w:lang w:val="en-GB"/>
        </w:rPr>
        <w:t xml:space="preserve"> w</w:t>
      </w:r>
      <w:r w:rsidR="008E1F37">
        <w:rPr>
          <w:rFonts w:cs="Arial"/>
          <w:bCs/>
          <w:sz w:val="22"/>
          <w:lang w:val="en-GB"/>
        </w:rPr>
        <w:t>ere</w:t>
      </w:r>
      <w:r>
        <w:rPr>
          <w:rFonts w:cs="Arial"/>
          <w:bCs/>
          <w:sz w:val="22"/>
          <w:lang w:val="en-GB"/>
        </w:rPr>
        <w:t xml:space="preserve"> continued with the support of the United Kingdom – who mobilized an expert from the International Tanker Owners Pollution Federation to follow up on the mission’s recommendations on the disposal of oiled debris. Additionally, a grant from the UNESCO Rapid Response Facility was given to MoEF to carry on response and recovery activities in the affected communities. UNDP and the W</w:t>
      </w:r>
      <w:r w:rsidR="00EA7C40">
        <w:rPr>
          <w:rFonts w:cs="Arial"/>
          <w:bCs/>
          <w:sz w:val="22"/>
          <w:lang w:val="en-GB"/>
        </w:rPr>
        <w:t>ildlife Conservation Society were</w:t>
      </w:r>
      <w:r>
        <w:rPr>
          <w:rFonts w:cs="Arial"/>
          <w:bCs/>
          <w:sz w:val="22"/>
          <w:lang w:val="en-GB"/>
        </w:rPr>
        <w:t xml:space="preserve"> also able to incorporate part of the recommendations into projects planned for the Sundarbans region.</w:t>
      </w:r>
      <w:r w:rsidR="00EA7C40">
        <w:rPr>
          <w:rFonts w:cs="Arial"/>
          <w:bCs/>
          <w:sz w:val="22"/>
          <w:lang w:val="en-GB"/>
        </w:rPr>
        <w:t xml:space="preserve"> Finally, involved academic institutions are planning to continue environmental monitoring in the area.</w:t>
      </w:r>
    </w:p>
    <w:p w14:paraId="2EE24646" w14:textId="77777777" w:rsidR="000939CD" w:rsidRPr="006E3A7E" w:rsidRDefault="000939CD" w:rsidP="000939CD">
      <w:pPr>
        <w:pStyle w:val="ochacontentheading"/>
        <w:ind w:right="-427"/>
        <w:rPr>
          <w:lang w:val="en-US"/>
        </w:rPr>
      </w:pPr>
      <w:r>
        <w:rPr>
          <w:lang w:val="en-US"/>
        </w:rPr>
        <w:t>Main impact and added value of the mission</w:t>
      </w:r>
    </w:p>
    <w:p w14:paraId="39AEAA98" w14:textId="77777777" w:rsidR="001458E9" w:rsidRPr="001458E9" w:rsidRDefault="001458E9" w:rsidP="001458E9">
      <w:pPr>
        <w:spacing w:before="240"/>
        <w:jc w:val="both"/>
        <w:rPr>
          <w:rFonts w:cs="Arial"/>
          <w:bCs/>
          <w:sz w:val="22"/>
          <w:lang w:val="en-GB"/>
        </w:rPr>
      </w:pPr>
      <w:r w:rsidRPr="001458E9">
        <w:rPr>
          <w:rFonts w:cs="Arial"/>
          <w:bCs/>
          <w:sz w:val="22"/>
          <w:lang w:val="en-GB"/>
        </w:rPr>
        <w:t>The incident in the Shela River represents a serious oil spill accident in a wildlife sanctuary and World Heritage and Ramsar site treasured for its unique biodiversity. Approximately 358,000 litres of heavy fuel oil were spilled from the damaged tanker. The mission focus lay in strengthening GoB’s efforts in containing the spillage and clean-up, and to provide support in assessing the situation and developing an action plan through the provision of appropriate recommendations.</w:t>
      </w:r>
    </w:p>
    <w:p w14:paraId="7CD367C6" w14:textId="5C562989" w:rsidR="001458E9" w:rsidRPr="001458E9" w:rsidRDefault="001458E9" w:rsidP="001458E9">
      <w:pPr>
        <w:spacing w:before="240"/>
        <w:jc w:val="both"/>
        <w:rPr>
          <w:rFonts w:cs="Arial"/>
          <w:bCs/>
          <w:sz w:val="22"/>
          <w:lang w:val="en-GB"/>
        </w:rPr>
      </w:pPr>
      <w:r w:rsidRPr="001458E9">
        <w:rPr>
          <w:rFonts w:cs="Arial"/>
          <w:bCs/>
          <w:sz w:val="22"/>
          <w:lang w:val="en-GB"/>
        </w:rPr>
        <w:t>When it comes to spillage containment and clean-up, the operations are completed with the exception of the management of oiled waste. The BPC reported that 68,200 litres had been purchased, based on payment records to local communities – representing approximately 19% of the oil spilled. Remaining oil on shoreline and vegetation, apart from nipa</w:t>
      </w:r>
      <w:r w:rsidR="008E1F37">
        <w:rPr>
          <w:rFonts w:cs="Arial"/>
          <w:bCs/>
          <w:sz w:val="22"/>
          <w:lang w:val="en-GB"/>
        </w:rPr>
        <w:t xml:space="preserve"> palm</w:t>
      </w:r>
      <w:r w:rsidRPr="001458E9">
        <w:rPr>
          <w:rFonts w:cs="Arial"/>
          <w:bCs/>
          <w:sz w:val="22"/>
          <w:lang w:val="en-GB"/>
        </w:rPr>
        <w:t xml:space="preserve"> leaves, does not warrant further clean-up action after consideration of net environmental benefits. The removal of oiled debris, the management of response generated waste, and the assessment of a final disposal option is </w:t>
      </w:r>
      <w:r w:rsidR="00A96B12">
        <w:rPr>
          <w:rFonts w:cs="Arial"/>
          <w:bCs/>
          <w:sz w:val="22"/>
          <w:lang w:val="en-GB"/>
        </w:rPr>
        <w:t>on</w:t>
      </w:r>
      <w:r w:rsidR="00A96B12" w:rsidRPr="001458E9">
        <w:rPr>
          <w:rFonts w:cs="Arial"/>
          <w:bCs/>
          <w:sz w:val="22"/>
          <w:lang w:val="en-GB"/>
        </w:rPr>
        <w:t>going</w:t>
      </w:r>
      <w:r w:rsidRPr="001458E9">
        <w:rPr>
          <w:rFonts w:cs="Arial"/>
          <w:bCs/>
          <w:sz w:val="22"/>
          <w:lang w:val="en-GB"/>
        </w:rPr>
        <w:t xml:space="preserve"> and should continue until complete. Efforts are underway to identify and relocate oil impacted debris and vegetation to centralized dewatering cribs. The MoEF is evaluating potential disposal options and is working with partner Ministries, affected communities and local authority representatives to determine a suitable location.</w:t>
      </w:r>
    </w:p>
    <w:p w14:paraId="55411FF9" w14:textId="77777777" w:rsidR="001458E9" w:rsidRPr="001458E9" w:rsidRDefault="001458E9" w:rsidP="001458E9">
      <w:pPr>
        <w:spacing w:before="240"/>
        <w:jc w:val="both"/>
        <w:rPr>
          <w:rFonts w:cs="Arial"/>
          <w:bCs/>
          <w:sz w:val="22"/>
          <w:lang w:val="en-GB"/>
        </w:rPr>
      </w:pPr>
      <w:r w:rsidRPr="001458E9">
        <w:rPr>
          <w:rFonts w:cs="Arial"/>
          <w:bCs/>
          <w:sz w:val="22"/>
          <w:lang w:val="en-GB"/>
        </w:rPr>
        <w:t>With respect to the response, the lack of a formal oil spill contingency plan; which among other things designates an appropriate competent authority to oversee the response as well as the limited experience and response infrastructure, made response and recovery efforts challenging.  Despite these limitations, the concerted efforts of the FD, such as the provision of nets to limit the spread of oil into tributaries, and the coordination of oiled vegetation collection, reduced the impacts.</w:t>
      </w:r>
    </w:p>
    <w:p w14:paraId="3E7475D7" w14:textId="77777777" w:rsidR="001458E9" w:rsidRPr="001458E9" w:rsidRDefault="001458E9" w:rsidP="001458E9">
      <w:pPr>
        <w:spacing w:before="240"/>
        <w:jc w:val="both"/>
        <w:rPr>
          <w:rFonts w:cs="Arial"/>
          <w:bCs/>
          <w:sz w:val="22"/>
          <w:lang w:val="en-GB"/>
        </w:rPr>
      </w:pPr>
      <w:r w:rsidRPr="001458E9">
        <w:rPr>
          <w:rFonts w:cs="Arial"/>
          <w:bCs/>
          <w:sz w:val="22"/>
          <w:lang w:val="en-GB"/>
        </w:rPr>
        <w:t>For a few community members, the incentive scheme helped to compensate for the loss of income from a loss of fishing days, destroyed fishing gear and unsalable contaminated catch. Notwithstanding the rapid community efforts to remove oil from the river system the lack of training, appropriate equipment and experience resulted in unintended negative impacts to the environment and the local community. The delay in supply of personal protective equipment caused, at least temporarily, immediate health impacts among the community responders, who reported short-term difficulties in breathing, headaches and vomiting.</w:t>
      </w:r>
    </w:p>
    <w:p w14:paraId="14D97F8B" w14:textId="77777777" w:rsidR="001458E9" w:rsidRPr="001458E9" w:rsidRDefault="001458E9" w:rsidP="001458E9">
      <w:pPr>
        <w:spacing w:before="240"/>
        <w:jc w:val="both"/>
        <w:rPr>
          <w:rFonts w:cs="Arial"/>
          <w:bCs/>
          <w:sz w:val="22"/>
          <w:lang w:val="en-GB"/>
        </w:rPr>
      </w:pPr>
      <w:r w:rsidRPr="001458E9">
        <w:rPr>
          <w:rFonts w:cs="Arial"/>
          <w:bCs/>
          <w:sz w:val="22"/>
          <w:lang w:val="en-GB"/>
        </w:rPr>
        <w:t xml:space="preserve">On-site observations, satellite and aerial imagery as well as bottom surveys imply that most of the oil released has either been washed out along the Shela and Pashur rivers or contained by shoreline vegetation. Timely tidal variations and the decision to ban tanker traffic in the Shela River immediately after the accident occurred, minimized the penetration of oil into the mangrove ecosystem from the waterways. </w:t>
      </w:r>
      <w:r w:rsidRPr="001458E9">
        <w:rPr>
          <w:rFonts w:cs="Arial"/>
          <w:bCs/>
          <w:sz w:val="22"/>
          <w:lang w:val="en-GB"/>
        </w:rPr>
        <w:lastRenderedPageBreak/>
        <w:t>Even so, the main shorelines 40 km up- and downstream of the incident site, excluding creeks, show varying degrees of oil residue contained in the vegetation.</w:t>
      </w:r>
    </w:p>
    <w:p w14:paraId="76FEA114" w14:textId="77777777" w:rsidR="001458E9" w:rsidRPr="001458E9" w:rsidRDefault="001458E9" w:rsidP="001458E9">
      <w:pPr>
        <w:spacing w:before="240"/>
        <w:jc w:val="both"/>
        <w:rPr>
          <w:rFonts w:cs="Arial"/>
          <w:bCs/>
          <w:sz w:val="22"/>
          <w:lang w:val="en-GB"/>
        </w:rPr>
      </w:pPr>
      <w:r w:rsidRPr="001458E9">
        <w:rPr>
          <w:rFonts w:cs="Arial"/>
          <w:bCs/>
          <w:sz w:val="22"/>
          <w:lang w:val="en-GB"/>
        </w:rPr>
        <w:t xml:space="preserve">With respect to the effects of the oil on the mangrove environment, no visible impact on the mangrove forest floor due to the accident has been observed. No oil or oiled debris was found to have moved beyond the shoreline adjacent to the rivers and canals in the broader forest habitat. Had the oil and oiled debris spread, they would have presented immense logistical challenges for both detection and remedial action and significantly increased the severity of spill effects. Minor mangrove seedling impacts were noted, but new growth was already observed on affected plants. Because of this, immediate and short-term impacts of the oil spill to mangroves may be limited. </w:t>
      </w:r>
    </w:p>
    <w:p w14:paraId="21767534" w14:textId="77777777" w:rsidR="001458E9" w:rsidRPr="001458E9" w:rsidRDefault="001458E9" w:rsidP="001458E9">
      <w:pPr>
        <w:spacing w:before="240"/>
        <w:jc w:val="both"/>
        <w:rPr>
          <w:rFonts w:cs="Arial"/>
          <w:bCs/>
          <w:sz w:val="22"/>
          <w:lang w:val="en-GB"/>
        </w:rPr>
      </w:pPr>
      <w:r w:rsidRPr="001458E9">
        <w:rPr>
          <w:rFonts w:cs="Arial"/>
          <w:bCs/>
          <w:sz w:val="22"/>
          <w:lang w:val="en-GB"/>
        </w:rPr>
        <w:t>Initial acute impacts to wildlife from this spill, based on observable mortality and visible oiling on and/or behavioural changes to live animals, appear to be limited in scope. Geographically these effects are focused no farther south than Andharmanik. This finding should not be interpreted as “no effect”, as there may be subclinical or sub-apparent impacts present that were not observable during this rapid assessment. Additionally, there may have been significant non-observable acute impacts to wildlife populations, as it was difficult to fully assess the region (especially terrestrial environments) and because the rapid assessment activities occurred almost two weeks following the oil release.</w:t>
      </w:r>
    </w:p>
    <w:p w14:paraId="587B05F5" w14:textId="77777777" w:rsidR="001458E9" w:rsidRPr="001458E9" w:rsidRDefault="001458E9" w:rsidP="001458E9">
      <w:pPr>
        <w:spacing w:before="240"/>
        <w:jc w:val="both"/>
        <w:rPr>
          <w:rFonts w:cs="Arial"/>
          <w:bCs/>
          <w:sz w:val="22"/>
          <w:lang w:val="en-GB"/>
        </w:rPr>
      </w:pPr>
      <w:r w:rsidRPr="001458E9">
        <w:rPr>
          <w:rFonts w:cs="Arial"/>
          <w:bCs/>
          <w:sz w:val="22"/>
          <w:lang w:val="en-GB"/>
        </w:rPr>
        <w:t>When it comes to the fate of the residual oil in the environment, it is too early to make any comprehensive judgments vis-a-vis potential impacts. Data recorded immediately after the spill shows no decline in fish and invertebrate species but about half of interviewees in local communities reported a decline in catch.</w:t>
      </w:r>
    </w:p>
    <w:p w14:paraId="02A07F72" w14:textId="77777777" w:rsidR="001458E9" w:rsidRPr="001458E9" w:rsidRDefault="001458E9" w:rsidP="001458E9">
      <w:pPr>
        <w:spacing w:before="240"/>
        <w:jc w:val="both"/>
        <w:rPr>
          <w:rFonts w:cs="Arial"/>
          <w:bCs/>
          <w:sz w:val="22"/>
          <w:lang w:val="en-GB"/>
        </w:rPr>
      </w:pPr>
      <w:r w:rsidRPr="001458E9">
        <w:rPr>
          <w:rFonts w:cs="Arial"/>
          <w:bCs/>
          <w:sz w:val="22"/>
          <w:lang w:val="en-GB"/>
        </w:rPr>
        <w:t>When it comes to human and socio-economic impacts, the assessment revealed that the impact on livelihoods was intense during the first two weeks due to refraining from fishing and collecting forest resources by local community members. While many fisherfolk lost their nets and tools for income-generation, other community members suffered the loss of domestic livestock (i.e. ducks due to oiling). A very small percentage of community members received a short-term economic benefit from the oil recovery scheme. The long-term effects on livelihoods, food security and health cannot be assessed in the allocated timeline of this rapid assessment. The oiling of nipa palm could temporarily be disruptive to communities engaging in palm leaf harvesting, and additionally cause health concerns and waste disposal issues.</w:t>
      </w:r>
    </w:p>
    <w:p w14:paraId="6245DA0E" w14:textId="77777777" w:rsidR="001458E9" w:rsidRPr="001458E9" w:rsidRDefault="001458E9" w:rsidP="001458E9">
      <w:pPr>
        <w:spacing w:before="240"/>
        <w:jc w:val="both"/>
        <w:rPr>
          <w:rFonts w:cs="Arial"/>
          <w:bCs/>
          <w:sz w:val="22"/>
          <w:lang w:val="en-GB"/>
        </w:rPr>
      </w:pPr>
      <w:r w:rsidRPr="001458E9">
        <w:rPr>
          <w:rFonts w:cs="Arial"/>
          <w:bCs/>
          <w:sz w:val="22"/>
          <w:lang w:val="en-GB"/>
        </w:rPr>
        <w:t>While the analysis of the rapid assessment is encouraging in terms of immediate impact, it does not reduce or eliminate the need for monitoring of mangrove ecosystem conditions and health in the future.  Mangrove systems offer unique and important opportunities for assessment of longer-term or chronic effects from the oil spill. The work conducted by the Joint Mission in terms of oil extent assessment, mangrove, wildlife and fisheries monitoring, provides a solid platform on which to construct a more robust surveillance and monitoring program.</w:t>
      </w:r>
    </w:p>
    <w:p w14:paraId="2CCB3A49" w14:textId="77777777" w:rsidR="001458E9" w:rsidRDefault="001458E9" w:rsidP="001458E9">
      <w:pPr>
        <w:spacing w:before="240"/>
        <w:jc w:val="both"/>
        <w:rPr>
          <w:rFonts w:cs="Arial"/>
          <w:bCs/>
          <w:sz w:val="22"/>
          <w:lang w:val="en-GB"/>
        </w:rPr>
      </w:pPr>
      <w:r w:rsidRPr="001458E9">
        <w:rPr>
          <w:rFonts w:cs="Arial"/>
          <w:bCs/>
          <w:sz w:val="22"/>
          <w:lang w:val="en-GB"/>
        </w:rPr>
        <w:t>In conclusion, the oil spill accident within a wildlife sanctuary represents a serious wake-up call. While a number of factors limited the impact of the spill, the shipping of oil through a valued and biodiverse environment presents a substantial risk to both the environment and the communities that depend on it for their livelihoods. Appropriate safeguards and mitigation measures need to be put in place to prevent and prepare for oil spills in the Sundarbans and throughout Bangladesh for all significant marine routes. Caution and prudence dictate that the situation be carefully monitored for change to discern any longer-term or chronic effects to this critical habitat and that appropriate mitigation be developed as needed. Long-term monitoring should be initiated as part of the integrated resources management plans already in place for the Sundarbans.</w:t>
      </w:r>
    </w:p>
    <w:p w14:paraId="2131BB9D" w14:textId="1B70C6DA" w:rsidR="00403FA0" w:rsidRDefault="00EA7C40" w:rsidP="001458E9">
      <w:pPr>
        <w:spacing w:before="240"/>
        <w:jc w:val="both"/>
        <w:rPr>
          <w:rFonts w:cs="Arial"/>
          <w:bCs/>
          <w:sz w:val="22"/>
          <w:lang w:val="en-GB"/>
        </w:rPr>
      </w:pPr>
      <w:r>
        <w:rPr>
          <w:rFonts w:cs="Arial"/>
          <w:bCs/>
          <w:sz w:val="22"/>
          <w:lang w:val="en-GB"/>
        </w:rPr>
        <w:t xml:space="preserve">The UNDAC mission was able to, in a short period of time, conduct a comprehensive and independent assessment of a highly political and sensitive incident. </w:t>
      </w:r>
      <w:r w:rsidR="00403FA0">
        <w:rPr>
          <w:rFonts w:cs="Arial"/>
          <w:bCs/>
          <w:sz w:val="22"/>
          <w:lang w:val="en-GB"/>
        </w:rPr>
        <w:t>The mission was followed intensely in local media, with a number of articles, news stories and interviews published on the assessment and its findings. Approximately 150 persons participated in the press conference where the mission and the Minister of Environment and Forests presented the assessment findings.</w:t>
      </w:r>
      <w:r w:rsidR="008E1F37">
        <w:rPr>
          <w:rFonts w:cs="Arial"/>
          <w:bCs/>
          <w:sz w:val="22"/>
          <w:lang w:val="en-GB"/>
        </w:rPr>
        <w:t xml:space="preserve"> The MoEF on a number of occasions stated their high appreciation of the mission’s work and signalled commitment to take on the recommendations.</w:t>
      </w:r>
    </w:p>
    <w:p w14:paraId="7140DF17" w14:textId="74CFBA6E" w:rsidR="000939CD" w:rsidRPr="008E1F37" w:rsidRDefault="00EA7C40" w:rsidP="008E1F37">
      <w:pPr>
        <w:spacing w:before="240"/>
        <w:jc w:val="both"/>
        <w:rPr>
          <w:rFonts w:cs="Arial"/>
          <w:bCs/>
          <w:sz w:val="22"/>
          <w:lang w:val="en-GB"/>
        </w:rPr>
      </w:pPr>
      <w:r>
        <w:rPr>
          <w:rFonts w:cs="Arial"/>
          <w:bCs/>
          <w:sz w:val="22"/>
          <w:lang w:val="en-GB"/>
        </w:rPr>
        <w:lastRenderedPageBreak/>
        <w:t>The inclusion of a broad group of stakeholders into the assessment team added to the</w:t>
      </w:r>
      <w:r w:rsidR="00403FA0">
        <w:rPr>
          <w:rFonts w:cs="Arial"/>
          <w:bCs/>
          <w:sz w:val="22"/>
          <w:lang w:val="en-GB"/>
        </w:rPr>
        <w:t xml:space="preserve"> assessment’s</w:t>
      </w:r>
      <w:r>
        <w:rPr>
          <w:rFonts w:cs="Arial"/>
          <w:bCs/>
          <w:sz w:val="22"/>
          <w:lang w:val="en-GB"/>
        </w:rPr>
        <w:t xml:space="preserve"> independence and credibility. </w:t>
      </w:r>
      <w:r w:rsidR="00403FA0">
        <w:rPr>
          <w:rFonts w:cs="Arial"/>
          <w:bCs/>
          <w:sz w:val="22"/>
          <w:lang w:val="en-GB"/>
        </w:rPr>
        <w:t>Thanks</w:t>
      </w:r>
      <w:r>
        <w:rPr>
          <w:rFonts w:cs="Arial"/>
          <w:bCs/>
          <w:sz w:val="22"/>
          <w:lang w:val="en-GB"/>
        </w:rPr>
        <w:t xml:space="preserve"> to the proactive work of UNDP and other development agencies, a number of bilateral offers of sup</w:t>
      </w:r>
      <w:r w:rsidR="008E1F37">
        <w:rPr>
          <w:rFonts w:cs="Arial"/>
          <w:bCs/>
          <w:sz w:val="22"/>
          <w:lang w:val="en-GB"/>
        </w:rPr>
        <w:t xml:space="preserve">port were integrated into </w:t>
      </w:r>
      <w:r>
        <w:rPr>
          <w:rFonts w:cs="Arial"/>
          <w:bCs/>
          <w:sz w:val="22"/>
          <w:lang w:val="en-GB"/>
        </w:rPr>
        <w:t xml:space="preserve">one assessment team, led by </w:t>
      </w:r>
      <w:r w:rsidR="00403FA0">
        <w:rPr>
          <w:rFonts w:cs="Arial"/>
          <w:bCs/>
          <w:sz w:val="22"/>
          <w:lang w:val="en-GB"/>
        </w:rPr>
        <w:t xml:space="preserve">an UNDAC team leader. While a lot of local context </w:t>
      </w:r>
      <w:r>
        <w:rPr>
          <w:rFonts w:cs="Arial"/>
          <w:bCs/>
          <w:sz w:val="22"/>
          <w:lang w:val="en-GB"/>
        </w:rPr>
        <w:t xml:space="preserve">knowledge came from the many national experts incorporated into the team, the international experts were able to provide additional technical </w:t>
      </w:r>
      <w:r w:rsidR="00403FA0">
        <w:rPr>
          <w:rFonts w:cs="Arial"/>
          <w:bCs/>
          <w:sz w:val="22"/>
          <w:lang w:val="en-GB"/>
        </w:rPr>
        <w:t xml:space="preserve">analysis and </w:t>
      </w:r>
      <w:r>
        <w:rPr>
          <w:rFonts w:cs="Arial"/>
          <w:bCs/>
          <w:sz w:val="22"/>
          <w:lang w:val="en-GB"/>
        </w:rPr>
        <w:t>guidance. The formation of sub-teams comprising of national and international experts led the assessment mission to beco</w:t>
      </w:r>
      <w:r w:rsidR="00403FA0">
        <w:rPr>
          <w:rFonts w:cs="Arial"/>
          <w:bCs/>
          <w:sz w:val="22"/>
          <w:lang w:val="en-GB"/>
        </w:rPr>
        <w:t xml:space="preserve">me an opportunity for knowledge </w:t>
      </w:r>
      <w:r>
        <w:rPr>
          <w:rFonts w:cs="Arial"/>
          <w:bCs/>
          <w:sz w:val="22"/>
          <w:lang w:val="en-GB"/>
        </w:rPr>
        <w:t xml:space="preserve">sharing </w:t>
      </w:r>
      <w:r w:rsidR="00403FA0">
        <w:rPr>
          <w:rFonts w:cs="Arial"/>
          <w:bCs/>
          <w:sz w:val="22"/>
          <w:lang w:val="en-GB"/>
        </w:rPr>
        <w:t xml:space="preserve">between experts and for capacity </w:t>
      </w:r>
      <w:r>
        <w:rPr>
          <w:rFonts w:cs="Arial"/>
          <w:bCs/>
          <w:sz w:val="22"/>
          <w:lang w:val="en-GB"/>
        </w:rPr>
        <w:t xml:space="preserve">development </w:t>
      </w:r>
      <w:r w:rsidR="00403FA0">
        <w:rPr>
          <w:rFonts w:cs="Arial"/>
          <w:bCs/>
          <w:sz w:val="22"/>
          <w:lang w:val="en-GB"/>
        </w:rPr>
        <w:t>in Bangladesh</w:t>
      </w:r>
      <w:r>
        <w:rPr>
          <w:rFonts w:cs="Arial"/>
          <w:bCs/>
          <w:sz w:val="22"/>
          <w:lang w:val="en-GB"/>
        </w:rPr>
        <w:t>. The mission has contributed to establishing strong national expertise and knowledge on the topic of oil spills in mangroves, which should be followed up and strengthened in the years to come. The full recommendations in the mission are provided in Annex 2.</w:t>
      </w:r>
      <w:r w:rsidR="00894331">
        <w:rPr>
          <w:rFonts w:cs="Arial"/>
          <w:bCs/>
          <w:sz w:val="22"/>
          <w:lang w:val="en-GB"/>
        </w:rPr>
        <w:t xml:space="preserve"> The full assessment report will be published on the Environmental Emergencies Centre (</w:t>
      </w:r>
      <w:hyperlink r:id="rId15" w:history="1">
        <w:r w:rsidR="00894331" w:rsidRPr="00012EEB">
          <w:rPr>
            <w:rStyle w:val="Hyperlink"/>
            <w:rFonts w:cs="Arial"/>
            <w:bCs/>
            <w:sz w:val="22"/>
            <w:lang w:val="en-GB"/>
          </w:rPr>
          <w:t>www.eecentre.org</w:t>
        </w:r>
      </w:hyperlink>
      <w:r w:rsidR="00894331">
        <w:rPr>
          <w:rFonts w:cs="Arial"/>
          <w:bCs/>
          <w:sz w:val="22"/>
          <w:lang w:val="en-GB"/>
        </w:rPr>
        <w:t xml:space="preserve">) by 15 February. A short documentary on the mission is available on </w:t>
      </w:r>
      <w:hyperlink r:id="rId16" w:history="1">
        <w:r w:rsidR="00894331" w:rsidRPr="00012EEB">
          <w:rPr>
            <w:rStyle w:val="Hyperlink"/>
            <w:rFonts w:cs="Arial"/>
            <w:bCs/>
            <w:sz w:val="22"/>
            <w:lang w:val="en-GB"/>
          </w:rPr>
          <w:t>https://www.youtube.com/watch?v=qGDBdRDoajw</w:t>
        </w:r>
      </w:hyperlink>
      <w:r w:rsidR="00894331">
        <w:rPr>
          <w:rFonts w:cs="Arial"/>
          <w:bCs/>
          <w:sz w:val="22"/>
          <w:lang w:val="en-GB"/>
        </w:rPr>
        <w:t xml:space="preserve"> </w:t>
      </w:r>
    </w:p>
    <w:p w14:paraId="60BB6273" w14:textId="77777777" w:rsidR="000939CD" w:rsidRPr="006E3A7E" w:rsidRDefault="000939CD" w:rsidP="000939CD">
      <w:pPr>
        <w:pStyle w:val="ochacontentheading"/>
        <w:ind w:right="-427"/>
        <w:rPr>
          <w:lang w:val="en-US"/>
        </w:rPr>
      </w:pPr>
      <w:r>
        <w:rPr>
          <w:lang w:val="en-US"/>
        </w:rPr>
        <w:t>SWOT analysis of the mission (by UNDAC members)</w:t>
      </w:r>
    </w:p>
    <w:p w14:paraId="0FBCC19A" w14:textId="3814EC93" w:rsidR="00C12972" w:rsidRDefault="00403FA0" w:rsidP="00454100">
      <w:pPr>
        <w:spacing w:before="240"/>
        <w:jc w:val="both"/>
        <w:rPr>
          <w:rFonts w:cs="Arial"/>
          <w:bCs/>
          <w:sz w:val="22"/>
          <w:lang w:val="en-GB"/>
        </w:rPr>
      </w:pPr>
      <w:r w:rsidRPr="00403FA0">
        <w:rPr>
          <w:rFonts w:cs="Arial"/>
          <w:bCs/>
          <w:sz w:val="22"/>
          <w:lang w:val="en-GB"/>
        </w:rPr>
        <w:t xml:space="preserve">The </w:t>
      </w:r>
      <w:r>
        <w:rPr>
          <w:rFonts w:cs="Arial"/>
          <w:bCs/>
          <w:sz w:val="22"/>
          <w:lang w:val="en-GB"/>
        </w:rPr>
        <w:t>SWOT analysis was conducted as part of a lessons learnt exercise where Sub-Teams were interviewed by one of the UNDAC members. Thus, the below analysis contains the contributions of the entire 25-member team.</w:t>
      </w:r>
    </w:p>
    <w:p w14:paraId="7E63EC64" w14:textId="77777777" w:rsidR="008E1F37" w:rsidRDefault="008E1F37" w:rsidP="00454100">
      <w:pPr>
        <w:spacing w:before="240"/>
        <w:jc w:val="both"/>
        <w:rPr>
          <w:rFonts w:cs="Arial"/>
          <w:bCs/>
          <w:sz w:val="22"/>
          <w:lang w:val="en-GB"/>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5"/>
        <w:gridCol w:w="8605"/>
      </w:tblGrid>
      <w:tr w:rsidR="000939CD" w:rsidRPr="00403FA0" w14:paraId="23B6958E" w14:textId="77777777" w:rsidTr="00454100">
        <w:trPr>
          <w:trHeight w:val="412"/>
        </w:trPr>
        <w:tc>
          <w:tcPr>
            <w:tcW w:w="1525" w:type="dxa"/>
            <w:shd w:val="clear" w:color="auto" w:fill="auto"/>
            <w:vAlign w:val="center"/>
          </w:tcPr>
          <w:p w14:paraId="575BF308" w14:textId="77777777" w:rsidR="000939CD" w:rsidRPr="00403FA0" w:rsidRDefault="000939CD" w:rsidP="00C12972">
            <w:pPr>
              <w:spacing w:before="80"/>
              <w:rPr>
                <w:rFonts w:cs="Arial"/>
                <w:sz w:val="22"/>
                <w:lang w:val="en-GB"/>
              </w:rPr>
            </w:pPr>
            <w:r w:rsidRPr="00403FA0">
              <w:rPr>
                <w:rFonts w:cs="Arial"/>
                <w:sz w:val="22"/>
                <w:lang w:val="en-GB"/>
              </w:rPr>
              <w:t>Strengths</w:t>
            </w:r>
          </w:p>
        </w:tc>
        <w:tc>
          <w:tcPr>
            <w:tcW w:w="8605" w:type="dxa"/>
            <w:shd w:val="clear" w:color="auto" w:fill="auto"/>
          </w:tcPr>
          <w:p w14:paraId="4CD54A59" w14:textId="7D092EEB" w:rsidR="000101D3" w:rsidRPr="00403FA0" w:rsidRDefault="000101D3" w:rsidP="008E1F37">
            <w:pPr>
              <w:pStyle w:val="ListParagraph"/>
              <w:widowControl w:val="0"/>
              <w:numPr>
                <w:ilvl w:val="0"/>
                <w:numId w:val="16"/>
              </w:numPr>
              <w:spacing w:before="60" w:after="60"/>
              <w:ind w:left="318" w:hanging="284"/>
              <w:contextualSpacing w:val="0"/>
              <w:jc w:val="both"/>
              <w:rPr>
                <w:rFonts w:cs="Arial"/>
                <w:sz w:val="22"/>
              </w:rPr>
            </w:pPr>
            <w:r w:rsidRPr="00403FA0">
              <w:rPr>
                <w:rFonts w:cs="Arial"/>
                <w:sz w:val="22"/>
              </w:rPr>
              <w:t xml:space="preserve">It was essential to have both international and national </w:t>
            </w:r>
            <w:r w:rsidR="006451F5">
              <w:rPr>
                <w:rFonts w:cs="Arial"/>
                <w:sz w:val="22"/>
              </w:rPr>
              <w:t xml:space="preserve">(NGO, academia and GoB) </w:t>
            </w:r>
            <w:r w:rsidRPr="00403FA0">
              <w:rPr>
                <w:rFonts w:cs="Arial"/>
                <w:sz w:val="22"/>
              </w:rPr>
              <w:t>experts; national experts provided local context that international experts did not have.</w:t>
            </w:r>
            <w:r w:rsidR="00403FA0">
              <w:rPr>
                <w:rFonts w:cs="Arial"/>
                <w:sz w:val="22"/>
              </w:rPr>
              <w:t xml:space="preserve"> The team had sufficient expertise from both national and international expe</w:t>
            </w:r>
            <w:r w:rsidR="008E1F37">
              <w:rPr>
                <w:rFonts w:cs="Arial"/>
                <w:sz w:val="22"/>
              </w:rPr>
              <w:t>rts in all relevant and required areas</w:t>
            </w:r>
            <w:r w:rsidR="00403FA0">
              <w:rPr>
                <w:rFonts w:cs="Arial"/>
                <w:sz w:val="22"/>
              </w:rPr>
              <w:t>.</w:t>
            </w:r>
          </w:p>
          <w:p w14:paraId="2D922940" w14:textId="03E710C7" w:rsidR="000101D3" w:rsidRPr="00403FA0" w:rsidRDefault="00403FA0" w:rsidP="008E1F37">
            <w:pPr>
              <w:pStyle w:val="ListParagraph"/>
              <w:widowControl w:val="0"/>
              <w:numPr>
                <w:ilvl w:val="0"/>
                <w:numId w:val="16"/>
              </w:numPr>
              <w:spacing w:before="60" w:after="60"/>
              <w:ind w:left="318" w:hanging="284"/>
              <w:contextualSpacing w:val="0"/>
              <w:jc w:val="both"/>
              <w:rPr>
                <w:rFonts w:cs="Arial"/>
                <w:sz w:val="22"/>
              </w:rPr>
            </w:pPr>
            <w:r>
              <w:rPr>
                <w:rFonts w:cs="Arial"/>
                <w:sz w:val="22"/>
              </w:rPr>
              <w:t>The p</w:t>
            </w:r>
            <w:r w:rsidR="000101D3" w:rsidRPr="00403FA0">
              <w:rPr>
                <w:rFonts w:cs="Arial"/>
                <w:sz w:val="22"/>
              </w:rPr>
              <w:t>articipatory development</w:t>
            </w:r>
            <w:r>
              <w:rPr>
                <w:rFonts w:cs="Arial"/>
                <w:sz w:val="22"/>
              </w:rPr>
              <w:t xml:space="preserve"> where international and national experts together developed and refined field assessment methodologies for their sub-team assessments led to a</w:t>
            </w:r>
            <w:r w:rsidR="000101D3" w:rsidRPr="00403FA0">
              <w:rPr>
                <w:rFonts w:cs="Arial"/>
                <w:sz w:val="22"/>
              </w:rPr>
              <w:t xml:space="preserve"> successful field assessment</w:t>
            </w:r>
          </w:p>
          <w:p w14:paraId="0C7AB3C0" w14:textId="529C4AEA" w:rsidR="000101D3" w:rsidRPr="00403FA0" w:rsidRDefault="000101D3" w:rsidP="008E1F37">
            <w:pPr>
              <w:pStyle w:val="ListParagraph"/>
              <w:widowControl w:val="0"/>
              <w:numPr>
                <w:ilvl w:val="0"/>
                <w:numId w:val="16"/>
              </w:numPr>
              <w:spacing w:before="60" w:after="60"/>
              <w:ind w:left="318" w:hanging="284"/>
              <w:jc w:val="both"/>
              <w:rPr>
                <w:rFonts w:cs="Arial"/>
                <w:sz w:val="22"/>
              </w:rPr>
            </w:pPr>
            <w:r w:rsidRPr="00403FA0">
              <w:rPr>
                <w:rFonts w:cs="Arial"/>
                <w:sz w:val="22"/>
              </w:rPr>
              <w:t>Strong commitment of core UNDP members facilitated the field assessment</w:t>
            </w:r>
          </w:p>
          <w:p w14:paraId="5A4E74E9" w14:textId="50F2C5E1" w:rsidR="000101D3" w:rsidRPr="00403FA0" w:rsidRDefault="000101D3" w:rsidP="008E1F37">
            <w:pPr>
              <w:pStyle w:val="ListParagraph"/>
              <w:widowControl w:val="0"/>
              <w:numPr>
                <w:ilvl w:val="0"/>
                <w:numId w:val="16"/>
              </w:numPr>
              <w:spacing w:before="60" w:after="60"/>
              <w:ind w:left="318" w:hanging="284"/>
              <w:jc w:val="both"/>
              <w:rPr>
                <w:rFonts w:cs="Arial"/>
                <w:sz w:val="22"/>
              </w:rPr>
            </w:pPr>
            <w:r w:rsidRPr="00403FA0">
              <w:rPr>
                <w:rFonts w:cs="Arial"/>
                <w:sz w:val="22"/>
              </w:rPr>
              <w:t>Strong operational leadership of UNDAC facilitated the field assessment; application of OSOCC methodology was beneficial</w:t>
            </w:r>
          </w:p>
          <w:p w14:paraId="0EE7F646" w14:textId="0C9E1E89" w:rsidR="000101D3" w:rsidRPr="00403FA0" w:rsidRDefault="000101D3" w:rsidP="008E1F37">
            <w:pPr>
              <w:pStyle w:val="ListParagraph"/>
              <w:widowControl w:val="0"/>
              <w:numPr>
                <w:ilvl w:val="0"/>
                <w:numId w:val="16"/>
              </w:numPr>
              <w:spacing w:before="60" w:after="60"/>
              <w:ind w:left="318" w:hanging="284"/>
              <w:jc w:val="both"/>
              <w:rPr>
                <w:rFonts w:cs="Arial"/>
                <w:sz w:val="22"/>
              </w:rPr>
            </w:pPr>
            <w:r w:rsidRPr="00403FA0">
              <w:rPr>
                <w:rFonts w:cs="Arial"/>
                <w:sz w:val="22"/>
              </w:rPr>
              <w:t>Communication among international and national experts went well; the mutual professional knowledge helped the communication.</w:t>
            </w:r>
          </w:p>
          <w:p w14:paraId="20F77B8F" w14:textId="2FA59578" w:rsidR="00403FA0" w:rsidRDefault="008E1F37" w:rsidP="008E1F37">
            <w:pPr>
              <w:pStyle w:val="ListParagraph"/>
              <w:widowControl w:val="0"/>
              <w:numPr>
                <w:ilvl w:val="0"/>
                <w:numId w:val="16"/>
              </w:numPr>
              <w:spacing w:before="60" w:after="60"/>
              <w:ind w:left="318" w:hanging="284"/>
              <w:jc w:val="both"/>
              <w:rPr>
                <w:rFonts w:cs="Arial"/>
                <w:sz w:val="22"/>
              </w:rPr>
            </w:pPr>
            <w:r w:rsidRPr="00403FA0">
              <w:rPr>
                <w:rFonts w:cs="Arial"/>
                <w:sz w:val="22"/>
              </w:rPr>
              <w:t>Well-structured</w:t>
            </w:r>
            <w:r w:rsidR="000101D3" w:rsidRPr="00403FA0">
              <w:rPr>
                <w:rFonts w:cs="Arial"/>
                <w:sz w:val="22"/>
              </w:rPr>
              <w:t xml:space="preserve"> daily briefing </w:t>
            </w:r>
            <w:r w:rsidR="00403FA0">
              <w:rPr>
                <w:rFonts w:cs="Arial"/>
                <w:sz w:val="22"/>
              </w:rPr>
              <w:t>provided</w:t>
            </w:r>
            <w:r w:rsidR="000101D3" w:rsidRPr="00403FA0">
              <w:rPr>
                <w:rFonts w:cs="Arial"/>
                <w:sz w:val="22"/>
              </w:rPr>
              <w:t xml:space="preserve"> </w:t>
            </w:r>
            <w:r w:rsidR="00403FA0">
              <w:rPr>
                <w:rFonts w:cs="Arial"/>
                <w:sz w:val="22"/>
              </w:rPr>
              <w:t xml:space="preserve">a </w:t>
            </w:r>
            <w:r w:rsidR="000101D3" w:rsidRPr="00403FA0">
              <w:rPr>
                <w:rFonts w:cs="Arial"/>
                <w:sz w:val="22"/>
              </w:rPr>
              <w:t>good opportunity to share information among sub-teams</w:t>
            </w:r>
          </w:p>
          <w:p w14:paraId="4B30A1A8" w14:textId="41B7A647" w:rsidR="00C12972" w:rsidRPr="006451F5" w:rsidRDefault="000101D3" w:rsidP="00386AE1">
            <w:pPr>
              <w:pStyle w:val="ListParagraph"/>
              <w:widowControl w:val="0"/>
              <w:numPr>
                <w:ilvl w:val="0"/>
                <w:numId w:val="16"/>
              </w:numPr>
              <w:spacing w:before="60" w:after="60"/>
              <w:ind w:left="318" w:hanging="284"/>
              <w:jc w:val="both"/>
              <w:rPr>
                <w:rFonts w:cs="Arial"/>
                <w:sz w:val="22"/>
              </w:rPr>
            </w:pPr>
            <w:r w:rsidRPr="00403FA0">
              <w:rPr>
                <w:rFonts w:cs="Arial"/>
                <w:sz w:val="22"/>
              </w:rPr>
              <w:t>Having a dedicated logistics officer was a plus</w:t>
            </w:r>
            <w:r w:rsidR="00403FA0">
              <w:rPr>
                <w:rFonts w:cs="Arial"/>
                <w:sz w:val="22"/>
              </w:rPr>
              <w:t xml:space="preserve"> but UNDAC c</w:t>
            </w:r>
            <w:r w:rsidRPr="00403FA0">
              <w:rPr>
                <w:rFonts w:cs="Arial"/>
                <w:sz w:val="22"/>
              </w:rPr>
              <w:t xml:space="preserve">ould have taken the lead in logistics arrangement so that the team could </w:t>
            </w:r>
            <w:r w:rsidR="00403FA0">
              <w:rPr>
                <w:rFonts w:cs="Arial"/>
                <w:sz w:val="22"/>
              </w:rPr>
              <w:t xml:space="preserve">have </w:t>
            </w:r>
            <w:r w:rsidRPr="00403FA0">
              <w:rPr>
                <w:rFonts w:cs="Arial"/>
                <w:sz w:val="22"/>
              </w:rPr>
              <w:t>ensure</w:t>
            </w:r>
            <w:r w:rsidR="00403FA0">
              <w:rPr>
                <w:rFonts w:cs="Arial"/>
                <w:sz w:val="22"/>
              </w:rPr>
              <w:t>d</w:t>
            </w:r>
            <w:r w:rsidRPr="00403FA0">
              <w:rPr>
                <w:rFonts w:cs="Arial"/>
                <w:sz w:val="22"/>
              </w:rPr>
              <w:t xml:space="preserve"> its self-sufficiency; </w:t>
            </w:r>
            <w:r w:rsidR="00403FA0">
              <w:rPr>
                <w:rFonts w:cs="Arial"/>
                <w:sz w:val="22"/>
              </w:rPr>
              <w:t xml:space="preserve">at times there was unclarity on </w:t>
            </w:r>
            <w:r w:rsidRPr="00403FA0">
              <w:rPr>
                <w:rFonts w:cs="Arial"/>
                <w:sz w:val="22"/>
              </w:rPr>
              <w:t>UNDP</w:t>
            </w:r>
            <w:r w:rsidR="00403FA0">
              <w:rPr>
                <w:rFonts w:cs="Arial"/>
                <w:sz w:val="22"/>
              </w:rPr>
              <w:t xml:space="preserve"> vs. UNDAC’s role</w:t>
            </w:r>
          </w:p>
        </w:tc>
      </w:tr>
      <w:tr w:rsidR="000939CD" w:rsidRPr="00403FA0" w14:paraId="13E8570A" w14:textId="77777777" w:rsidTr="00454100">
        <w:tc>
          <w:tcPr>
            <w:tcW w:w="1525" w:type="dxa"/>
            <w:shd w:val="clear" w:color="auto" w:fill="auto"/>
            <w:vAlign w:val="center"/>
          </w:tcPr>
          <w:p w14:paraId="2E94352A" w14:textId="77777777" w:rsidR="000939CD" w:rsidRPr="00403FA0" w:rsidRDefault="000939CD" w:rsidP="00C12972">
            <w:pPr>
              <w:spacing w:before="80"/>
              <w:rPr>
                <w:rFonts w:cs="Arial"/>
                <w:sz w:val="22"/>
                <w:lang w:val="en-GB"/>
              </w:rPr>
            </w:pPr>
            <w:r w:rsidRPr="00403FA0">
              <w:rPr>
                <w:rFonts w:cs="Arial"/>
                <w:sz w:val="22"/>
                <w:lang w:val="en-GB"/>
              </w:rPr>
              <w:t>Weaknesses</w:t>
            </w:r>
          </w:p>
        </w:tc>
        <w:tc>
          <w:tcPr>
            <w:tcW w:w="8605" w:type="dxa"/>
            <w:shd w:val="clear" w:color="auto" w:fill="auto"/>
          </w:tcPr>
          <w:p w14:paraId="4EEAF6CF" w14:textId="6F90498F" w:rsidR="00C12972" w:rsidRPr="006451F5" w:rsidRDefault="006451F5" w:rsidP="008E1F37">
            <w:pPr>
              <w:pStyle w:val="ListParagraph"/>
              <w:widowControl w:val="0"/>
              <w:numPr>
                <w:ilvl w:val="0"/>
                <w:numId w:val="16"/>
              </w:numPr>
              <w:spacing w:before="60" w:after="60"/>
              <w:ind w:left="318" w:hanging="284"/>
              <w:contextualSpacing w:val="0"/>
              <w:jc w:val="both"/>
              <w:rPr>
                <w:rFonts w:cs="Arial"/>
                <w:sz w:val="22"/>
              </w:rPr>
            </w:pPr>
            <w:r>
              <w:rPr>
                <w:rFonts w:cs="Arial"/>
                <w:sz w:val="22"/>
              </w:rPr>
              <w:t xml:space="preserve">UNDP was in charge of many aspects of operations, coordination and scheduling – leaving it difficult for UNDAC at times to manage the </w:t>
            </w:r>
            <w:r w:rsidR="000101D3" w:rsidRPr="006451F5">
              <w:rPr>
                <w:rFonts w:cs="Arial"/>
                <w:sz w:val="22"/>
              </w:rPr>
              <w:t>overall schedule and planning.</w:t>
            </w:r>
          </w:p>
          <w:p w14:paraId="6ACE43A0" w14:textId="77777777" w:rsidR="00454100" w:rsidRDefault="000101D3" w:rsidP="008E1F37">
            <w:pPr>
              <w:pStyle w:val="ListParagraph"/>
              <w:widowControl w:val="0"/>
              <w:numPr>
                <w:ilvl w:val="0"/>
                <w:numId w:val="16"/>
              </w:numPr>
              <w:spacing w:before="60" w:after="60"/>
              <w:ind w:left="318" w:hanging="284"/>
              <w:contextualSpacing w:val="0"/>
              <w:jc w:val="both"/>
              <w:rPr>
                <w:rFonts w:cs="Arial"/>
                <w:sz w:val="22"/>
              </w:rPr>
            </w:pPr>
            <w:r w:rsidRPr="006451F5">
              <w:rPr>
                <w:rFonts w:cs="Arial"/>
                <w:sz w:val="22"/>
              </w:rPr>
              <w:t>Information sharing could have been better structured; it was good idea to have briefing and agenda but</w:t>
            </w:r>
            <w:r w:rsidR="00454100">
              <w:rPr>
                <w:rFonts w:cs="Arial"/>
                <w:sz w:val="22"/>
              </w:rPr>
              <w:t xml:space="preserve"> some sub-team leaders lacked</w:t>
            </w:r>
            <w:r w:rsidRPr="006451F5">
              <w:rPr>
                <w:rFonts w:cs="Arial"/>
                <w:sz w:val="22"/>
              </w:rPr>
              <w:t xml:space="preserve"> information </w:t>
            </w:r>
            <w:r w:rsidR="00454100">
              <w:rPr>
                <w:rFonts w:cs="Arial"/>
                <w:sz w:val="22"/>
              </w:rPr>
              <w:t xml:space="preserve">on </w:t>
            </w:r>
            <w:r w:rsidRPr="006451F5">
              <w:rPr>
                <w:rFonts w:cs="Arial"/>
                <w:sz w:val="22"/>
              </w:rPr>
              <w:t>what they should report</w:t>
            </w:r>
            <w:r w:rsidR="00454100">
              <w:rPr>
                <w:rFonts w:cs="Arial"/>
                <w:sz w:val="22"/>
              </w:rPr>
              <w:t xml:space="preserve"> on.</w:t>
            </w:r>
          </w:p>
          <w:p w14:paraId="270B3BD7" w14:textId="4A3DC843" w:rsidR="000101D3" w:rsidRPr="006451F5" w:rsidRDefault="00454100" w:rsidP="008E1F37">
            <w:pPr>
              <w:pStyle w:val="ListParagraph"/>
              <w:widowControl w:val="0"/>
              <w:numPr>
                <w:ilvl w:val="0"/>
                <w:numId w:val="16"/>
              </w:numPr>
              <w:spacing w:before="60" w:after="60"/>
              <w:ind w:left="318" w:hanging="284"/>
              <w:contextualSpacing w:val="0"/>
              <w:jc w:val="both"/>
              <w:rPr>
                <w:rFonts w:cs="Arial"/>
                <w:sz w:val="22"/>
              </w:rPr>
            </w:pPr>
            <w:r>
              <w:rPr>
                <w:rFonts w:cs="Arial"/>
                <w:sz w:val="22"/>
              </w:rPr>
              <w:t>During the first day of field assessment there was some confusion on logistical aspects (boat and equipment availability, security, route planning, check-in) as well as on the opportunities for information-sharing and coordination of assessments between sub-teams.</w:t>
            </w:r>
            <w:r w:rsidR="00B9163D">
              <w:rPr>
                <w:rFonts w:cs="Arial"/>
                <w:sz w:val="22"/>
              </w:rPr>
              <w:t xml:space="preserve"> </w:t>
            </w:r>
          </w:p>
          <w:p w14:paraId="75037C5F" w14:textId="39B3290F" w:rsidR="000101D3" w:rsidRPr="006451F5" w:rsidRDefault="00454100" w:rsidP="008E1F37">
            <w:pPr>
              <w:pStyle w:val="ListParagraph"/>
              <w:widowControl w:val="0"/>
              <w:numPr>
                <w:ilvl w:val="0"/>
                <w:numId w:val="16"/>
              </w:numPr>
              <w:spacing w:before="60" w:after="60"/>
              <w:ind w:left="318" w:hanging="284"/>
              <w:contextualSpacing w:val="0"/>
              <w:jc w:val="both"/>
              <w:rPr>
                <w:rFonts w:cs="Arial"/>
                <w:sz w:val="22"/>
              </w:rPr>
            </w:pPr>
            <w:r>
              <w:rPr>
                <w:rFonts w:cs="Arial"/>
                <w:sz w:val="22"/>
              </w:rPr>
              <w:t>Initial confusion among</w:t>
            </w:r>
            <w:r w:rsidR="000101D3" w:rsidRPr="006451F5">
              <w:rPr>
                <w:rFonts w:cs="Arial"/>
                <w:sz w:val="22"/>
              </w:rPr>
              <w:t xml:space="preserve"> international experts </w:t>
            </w:r>
            <w:r>
              <w:rPr>
                <w:rFonts w:cs="Arial"/>
                <w:sz w:val="22"/>
              </w:rPr>
              <w:t>on whether they were</w:t>
            </w:r>
            <w:r w:rsidR="000101D3" w:rsidRPr="006451F5">
              <w:rPr>
                <w:rFonts w:cs="Arial"/>
                <w:sz w:val="22"/>
              </w:rPr>
              <w:t xml:space="preserve"> deployed to the country or to </w:t>
            </w:r>
            <w:r>
              <w:rPr>
                <w:rFonts w:cs="Arial"/>
                <w:sz w:val="22"/>
              </w:rPr>
              <w:t xml:space="preserve">a </w:t>
            </w:r>
            <w:r w:rsidR="000101D3" w:rsidRPr="006451F5">
              <w:rPr>
                <w:rFonts w:cs="Arial"/>
                <w:sz w:val="22"/>
              </w:rPr>
              <w:t>UN mission</w:t>
            </w:r>
            <w:r>
              <w:rPr>
                <w:rFonts w:cs="Arial"/>
                <w:sz w:val="22"/>
              </w:rPr>
              <w:t>.</w:t>
            </w:r>
            <w:r w:rsidR="00C535E1">
              <w:rPr>
                <w:rFonts w:cs="Arial"/>
                <w:sz w:val="22"/>
              </w:rPr>
              <w:t xml:space="preserve"> Due to lack of information on their roles prior to the departure some experts missed</w:t>
            </w:r>
            <w:r w:rsidR="00B9163D">
              <w:rPr>
                <w:rFonts w:cs="Arial"/>
                <w:sz w:val="22"/>
              </w:rPr>
              <w:t xml:space="preserve"> necessary equipment </w:t>
            </w:r>
            <w:r w:rsidR="00C535E1">
              <w:rPr>
                <w:rFonts w:cs="Arial"/>
                <w:sz w:val="22"/>
              </w:rPr>
              <w:t>(e.g. bin</w:t>
            </w:r>
            <w:r w:rsidR="008E1F37">
              <w:rPr>
                <w:rFonts w:cs="Arial"/>
                <w:sz w:val="22"/>
              </w:rPr>
              <w:t>oculars</w:t>
            </w:r>
            <w:r w:rsidR="00C535E1">
              <w:rPr>
                <w:rFonts w:cs="Arial"/>
                <w:sz w:val="22"/>
              </w:rPr>
              <w:t xml:space="preserve">) </w:t>
            </w:r>
            <w:r w:rsidR="00B9163D">
              <w:rPr>
                <w:rFonts w:cs="Arial"/>
                <w:sz w:val="22"/>
              </w:rPr>
              <w:t>for field assessment.</w:t>
            </w:r>
          </w:p>
          <w:p w14:paraId="738E39A0" w14:textId="013129E4" w:rsidR="000101D3" w:rsidRPr="00454100" w:rsidRDefault="000101D3" w:rsidP="008E1F37">
            <w:pPr>
              <w:pStyle w:val="ListParagraph"/>
              <w:widowControl w:val="0"/>
              <w:numPr>
                <w:ilvl w:val="0"/>
                <w:numId w:val="16"/>
              </w:numPr>
              <w:spacing w:before="60" w:after="60"/>
              <w:ind w:left="318" w:hanging="284"/>
              <w:contextualSpacing w:val="0"/>
              <w:jc w:val="both"/>
              <w:rPr>
                <w:rFonts w:cs="Arial"/>
                <w:sz w:val="22"/>
              </w:rPr>
            </w:pPr>
            <w:r w:rsidRPr="00454100">
              <w:rPr>
                <w:rFonts w:cs="Arial"/>
                <w:sz w:val="22"/>
              </w:rPr>
              <w:t xml:space="preserve">Sub team leaders should have followed up a team that were in behind by providing </w:t>
            </w:r>
            <w:r w:rsidRPr="00454100">
              <w:rPr>
                <w:rFonts w:cs="Arial"/>
                <w:sz w:val="22"/>
              </w:rPr>
              <w:lastRenderedPageBreak/>
              <w:t>guidance at early stage</w:t>
            </w:r>
          </w:p>
          <w:p w14:paraId="6DC0AE37" w14:textId="6738A687" w:rsidR="00C12972" w:rsidRPr="00454100" w:rsidRDefault="00454100" w:rsidP="008E1F37">
            <w:pPr>
              <w:pStyle w:val="ListParagraph"/>
              <w:widowControl w:val="0"/>
              <w:numPr>
                <w:ilvl w:val="0"/>
                <w:numId w:val="16"/>
              </w:numPr>
              <w:spacing w:before="60" w:after="60"/>
              <w:ind w:left="318" w:hanging="284"/>
              <w:contextualSpacing w:val="0"/>
              <w:jc w:val="both"/>
              <w:rPr>
                <w:rFonts w:cs="Arial"/>
                <w:sz w:val="22"/>
              </w:rPr>
            </w:pPr>
            <w:r>
              <w:rPr>
                <w:rFonts w:cs="Arial"/>
                <w:sz w:val="22"/>
              </w:rPr>
              <w:t>Stronger support from UNDP on media liaison would have been welcome (interview requests, main messages, press releases) – the field communications officer was overwhelmed and could not handle all of these issues</w:t>
            </w:r>
            <w:r w:rsidR="008E1F37">
              <w:rPr>
                <w:rFonts w:cs="Arial"/>
                <w:sz w:val="22"/>
              </w:rPr>
              <w:t>.</w:t>
            </w:r>
            <w:r w:rsidR="000101D3" w:rsidRPr="00454100">
              <w:rPr>
                <w:rFonts w:cs="Arial"/>
                <w:sz w:val="22"/>
              </w:rPr>
              <w:tab/>
            </w:r>
          </w:p>
        </w:tc>
      </w:tr>
      <w:tr w:rsidR="000939CD" w:rsidRPr="00403FA0" w14:paraId="71B20CA5" w14:textId="77777777" w:rsidTr="00454100">
        <w:tc>
          <w:tcPr>
            <w:tcW w:w="1525" w:type="dxa"/>
            <w:shd w:val="clear" w:color="auto" w:fill="auto"/>
            <w:vAlign w:val="center"/>
          </w:tcPr>
          <w:p w14:paraId="535FD334" w14:textId="06054F88" w:rsidR="000939CD" w:rsidRPr="00403FA0" w:rsidRDefault="000939CD" w:rsidP="00C12972">
            <w:pPr>
              <w:spacing w:before="80"/>
              <w:rPr>
                <w:rFonts w:cs="Arial"/>
                <w:sz w:val="22"/>
                <w:lang w:val="en-GB"/>
              </w:rPr>
            </w:pPr>
            <w:r w:rsidRPr="00403FA0">
              <w:rPr>
                <w:rFonts w:cs="Arial"/>
                <w:sz w:val="22"/>
                <w:lang w:val="en-GB"/>
              </w:rPr>
              <w:lastRenderedPageBreak/>
              <w:t>Opportunities</w:t>
            </w:r>
          </w:p>
        </w:tc>
        <w:tc>
          <w:tcPr>
            <w:tcW w:w="8605" w:type="dxa"/>
            <w:shd w:val="clear" w:color="auto" w:fill="auto"/>
          </w:tcPr>
          <w:p w14:paraId="1E36510D" w14:textId="0638F5BB" w:rsidR="000939CD" w:rsidRDefault="006451F5" w:rsidP="008E1F37">
            <w:pPr>
              <w:pStyle w:val="ListParagraph"/>
              <w:widowControl w:val="0"/>
              <w:numPr>
                <w:ilvl w:val="0"/>
                <w:numId w:val="16"/>
              </w:numPr>
              <w:spacing w:before="60" w:after="60"/>
              <w:ind w:left="318" w:hanging="284"/>
              <w:contextualSpacing w:val="0"/>
              <w:jc w:val="both"/>
              <w:rPr>
                <w:rFonts w:cs="Arial"/>
                <w:sz w:val="22"/>
              </w:rPr>
            </w:pPr>
            <w:r>
              <w:rPr>
                <w:rFonts w:cs="Arial"/>
                <w:sz w:val="22"/>
              </w:rPr>
              <w:t xml:space="preserve">UNDP involvement was excellent as they are a </w:t>
            </w:r>
            <w:r w:rsidRPr="00403FA0">
              <w:rPr>
                <w:rFonts w:cs="Arial"/>
                <w:sz w:val="22"/>
              </w:rPr>
              <w:t xml:space="preserve">long-term </w:t>
            </w:r>
            <w:r>
              <w:rPr>
                <w:rFonts w:cs="Arial"/>
                <w:sz w:val="22"/>
              </w:rPr>
              <w:t xml:space="preserve">GoB </w:t>
            </w:r>
            <w:r w:rsidRPr="00403FA0">
              <w:rPr>
                <w:rFonts w:cs="Arial"/>
                <w:sz w:val="22"/>
              </w:rPr>
              <w:t xml:space="preserve">partner </w:t>
            </w:r>
            <w:r>
              <w:rPr>
                <w:rFonts w:cs="Arial"/>
                <w:sz w:val="22"/>
              </w:rPr>
              <w:t>and was</w:t>
            </w:r>
            <w:r w:rsidRPr="00403FA0">
              <w:rPr>
                <w:rFonts w:cs="Arial"/>
                <w:sz w:val="22"/>
              </w:rPr>
              <w:t xml:space="preserve"> able to bring</w:t>
            </w:r>
            <w:r>
              <w:rPr>
                <w:rFonts w:cs="Arial"/>
                <w:sz w:val="22"/>
              </w:rPr>
              <w:t xml:space="preserve"> in</w:t>
            </w:r>
            <w:r w:rsidRPr="00403FA0">
              <w:rPr>
                <w:rFonts w:cs="Arial"/>
                <w:sz w:val="22"/>
              </w:rPr>
              <w:t xml:space="preserve"> local experts and GoB </w:t>
            </w:r>
            <w:r>
              <w:rPr>
                <w:rFonts w:cs="Arial"/>
                <w:sz w:val="22"/>
              </w:rPr>
              <w:t>representatives</w:t>
            </w:r>
            <w:r w:rsidRPr="00403FA0">
              <w:rPr>
                <w:rFonts w:cs="Arial"/>
                <w:sz w:val="22"/>
              </w:rPr>
              <w:t xml:space="preserve"> to the mission</w:t>
            </w:r>
            <w:r>
              <w:rPr>
                <w:rFonts w:cs="Arial"/>
                <w:sz w:val="22"/>
              </w:rPr>
              <w:t>.</w:t>
            </w:r>
          </w:p>
          <w:p w14:paraId="24D02D6D" w14:textId="273E9BA1" w:rsidR="00C12972" w:rsidRDefault="006451F5" w:rsidP="008E1F37">
            <w:pPr>
              <w:pStyle w:val="ListParagraph"/>
              <w:widowControl w:val="0"/>
              <w:numPr>
                <w:ilvl w:val="0"/>
                <w:numId w:val="16"/>
              </w:numPr>
              <w:spacing w:before="60" w:after="60"/>
              <w:ind w:left="318" w:hanging="284"/>
              <w:contextualSpacing w:val="0"/>
              <w:jc w:val="both"/>
              <w:rPr>
                <w:rFonts w:cs="Arial"/>
                <w:sz w:val="22"/>
              </w:rPr>
            </w:pPr>
            <w:r w:rsidRPr="00403FA0">
              <w:rPr>
                <w:rFonts w:cs="Arial"/>
                <w:sz w:val="22"/>
              </w:rPr>
              <w:t xml:space="preserve">Close integration of national experts </w:t>
            </w:r>
            <w:r>
              <w:rPr>
                <w:rFonts w:cs="Arial"/>
                <w:sz w:val="22"/>
              </w:rPr>
              <w:t>supports</w:t>
            </w:r>
            <w:r w:rsidRPr="00403FA0">
              <w:rPr>
                <w:rFonts w:cs="Arial"/>
                <w:sz w:val="22"/>
              </w:rPr>
              <w:t xml:space="preserve"> sustainability of pro</w:t>
            </w:r>
            <w:r>
              <w:rPr>
                <w:rFonts w:cs="Arial"/>
                <w:sz w:val="22"/>
              </w:rPr>
              <w:t>jects that may follow.</w:t>
            </w:r>
          </w:p>
          <w:p w14:paraId="03596B34" w14:textId="77777777" w:rsidR="00C12972" w:rsidRDefault="006451F5" w:rsidP="008E1F37">
            <w:pPr>
              <w:pStyle w:val="ListParagraph"/>
              <w:widowControl w:val="0"/>
              <w:numPr>
                <w:ilvl w:val="0"/>
                <w:numId w:val="16"/>
              </w:numPr>
              <w:spacing w:before="60" w:after="60"/>
              <w:ind w:left="318" w:hanging="284"/>
              <w:contextualSpacing w:val="0"/>
              <w:jc w:val="both"/>
              <w:rPr>
                <w:rFonts w:cs="Arial"/>
                <w:sz w:val="22"/>
              </w:rPr>
            </w:pPr>
            <w:r>
              <w:rPr>
                <w:rFonts w:cs="Arial"/>
                <w:sz w:val="22"/>
              </w:rPr>
              <w:t>Strong interest of the public in the incident and high level of publicity can support the implementation of the mission’s recommendations. Momentum should not be lost.</w:t>
            </w:r>
          </w:p>
          <w:p w14:paraId="6631206F" w14:textId="77777777" w:rsidR="00386AE1" w:rsidRDefault="008E1F37" w:rsidP="00386AE1">
            <w:pPr>
              <w:pStyle w:val="ListParagraph"/>
              <w:widowControl w:val="0"/>
              <w:numPr>
                <w:ilvl w:val="0"/>
                <w:numId w:val="16"/>
              </w:numPr>
              <w:spacing w:before="60" w:after="60"/>
              <w:ind w:left="318" w:hanging="284"/>
              <w:contextualSpacing w:val="0"/>
              <w:jc w:val="both"/>
              <w:rPr>
                <w:rFonts w:cs="Arial"/>
                <w:sz w:val="22"/>
              </w:rPr>
            </w:pPr>
            <w:r>
              <w:rPr>
                <w:rFonts w:cs="Arial"/>
                <w:sz w:val="22"/>
              </w:rPr>
              <w:t>The incident and attention it received offers a unique opportunity to strengthen oil spill preparedness going forward.</w:t>
            </w:r>
          </w:p>
          <w:p w14:paraId="616B6FEF" w14:textId="43EBA221" w:rsidR="008E1F37" w:rsidRPr="00386AE1" w:rsidRDefault="008E1F37" w:rsidP="00386AE1">
            <w:pPr>
              <w:pStyle w:val="ListParagraph"/>
              <w:widowControl w:val="0"/>
              <w:numPr>
                <w:ilvl w:val="0"/>
                <w:numId w:val="16"/>
              </w:numPr>
              <w:spacing w:before="60" w:after="60"/>
              <w:ind w:left="318" w:hanging="284"/>
              <w:contextualSpacing w:val="0"/>
              <w:jc w:val="both"/>
              <w:rPr>
                <w:rFonts w:cs="Arial"/>
                <w:sz w:val="22"/>
              </w:rPr>
            </w:pPr>
            <w:r w:rsidRPr="00386AE1">
              <w:rPr>
                <w:rFonts w:cs="Arial"/>
                <w:sz w:val="22"/>
              </w:rPr>
              <w:t>The mission was extremely well received by the GoB a</w:t>
            </w:r>
            <w:r w:rsidR="00386AE1">
              <w:rPr>
                <w:rFonts w:cs="Arial"/>
                <w:sz w:val="22"/>
              </w:rPr>
              <w:t xml:space="preserve">nd can pave the way </w:t>
            </w:r>
            <w:r w:rsidR="00386AE1" w:rsidRPr="00386AE1">
              <w:rPr>
                <w:rFonts w:cs="Arial"/>
                <w:sz w:val="22"/>
              </w:rPr>
              <w:t>to further strengthen the support that the UN is providing in country to the Government on disaster response preparedness and humanitarian coordination, as</w:t>
            </w:r>
            <w:r w:rsidR="00386AE1">
              <w:rPr>
                <w:rFonts w:cs="Arial"/>
                <w:sz w:val="22"/>
              </w:rPr>
              <w:t xml:space="preserve"> well as to promote </w:t>
            </w:r>
            <w:r w:rsidR="00386AE1" w:rsidRPr="00386AE1">
              <w:rPr>
                <w:rFonts w:cs="Arial"/>
                <w:sz w:val="22"/>
              </w:rPr>
              <w:t>disaster coordination and assessment tools offered by OCHA to member states</w:t>
            </w:r>
          </w:p>
        </w:tc>
      </w:tr>
      <w:tr w:rsidR="000939CD" w:rsidRPr="00403FA0" w14:paraId="7F758914" w14:textId="77777777" w:rsidTr="00454100">
        <w:tc>
          <w:tcPr>
            <w:tcW w:w="1525" w:type="dxa"/>
            <w:shd w:val="clear" w:color="auto" w:fill="auto"/>
            <w:vAlign w:val="center"/>
          </w:tcPr>
          <w:p w14:paraId="569C1A90" w14:textId="7629F42E" w:rsidR="000939CD" w:rsidRPr="00403FA0" w:rsidRDefault="000939CD" w:rsidP="00C12972">
            <w:pPr>
              <w:spacing w:before="80"/>
              <w:rPr>
                <w:rFonts w:cs="Arial"/>
                <w:sz w:val="22"/>
                <w:lang w:val="en-GB"/>
              </w:rPr>
            </w:pPr>
            <w:r w:rsidRPr="00403FA0">
              <w:rPr>
                <w:rFonts w:cs="Arial"/>
                <w:sz w:val="22"/>
                <w:lang w:val="en-GB"/>
              </w:rPr>
              <w:t>Threats</w:t>
            </w:r>
          </w:p>
        </w:tc>
        <w:tc>
          <w:tcPr>
            <w:tcW w:w="8605" w:type="dxa"/>
            <w:shd w:val="clear" w:color="auto" w:fill="auto"/>
          </w:tcPr>
          <w:p w14:paraId="3DB3F3A2" w14:textId="7DDCE6A0" w:rsidR="000939CD" w:rsidRPr="006451F5" w:rsidRDefault="006451F5" w:rsidP="008E1F37">
            <w:pPr>
              <w:pStyle w:val="ListParagraph"/>
              <w:widowControl w:val="0"/>
              <w:numPr>
                <w:ilvl w:val="0"/>
                <w:numId w:val="16"/>
              </w:numPr>
              <w:spacing w:before="60" w:after="60"/>
              <w:ind w:left="318" w:hanging="284"/>
              <w:contextualSpacing w:val="0"/>
              <w:jc w:val="both"/>
              <w:rPr>
                <w:rFonts w:cs="Arial"/>
                <w:sz w:val="22"/>
              </w:rPr>
            </w:pPr>
            <w:r>
              <w:rPr>
                <w:rFonts w:cs="Arial"/>
                <w:sz w:val="22"/>
              </w:rPr>
              <w:t xml:space="preserve">Security concerns delayed the departure into the field. While </w:t>
            </w:r>
            <w:r w:rsidRPr="00403FA0">
              <w:rPr>
                <w:rFonts w:cs="Arial"/>
                <w:sz w:val="22"/>
              </w:rPr>
              <w:t xml:space="preserve">UNDSS had pragmatic approach in </w:t>
            </w:r>
            <w:r>
              <w:rPr>
                <w:rFonts w:cs="Arial"/>
                <w:sz w:val="22"/>
              </w:rPr>
              <w:t xml:space="preserve">arranging security, there was unclarity on the role of UNDAC, UNDSS, MoEF and local police on security roles and responsibilities </w:t>
            </w:r>
            <w:r w:rsidR="00454100">
              <w:rPr>
                <w:rFonts w:cs="Arial"/>
                <w:sz w:val="22"/>
              </w:rPr>
              <w:t xml:space="preserve">(logistics, medical evacuation, route planning) </w:t>
            </w:r>
            <w:r>
              <w:rPr>
                <w:rFonts w:cs="Arial"/>
                <w:sz w:val="22"/>
              </w:rPr>
              <w:t xml:space="preserve">– </w:t>
            </w:r>
            <w:r w:rsidR="00454100">
              <w:rPr>
                <w:rFonts w:cs="Arial"/>
                <w:sz w:val="22"/>
              </w:rPr>
              <w:t xml:space="preserve">luckily </w:t>
            </w:r>
            <w:r>
              <w:rPr>
                <w:rFonts w:cs="Arial"/>
                <w:sz w:val="22"/>
              </w:rPr>
              <w:t xml:space="preserve">no incidents </w:t>
            </w:r>
            <w:r w:rsidR="00454100">
              <w:rPr>
                <w:rFonts w:cs="Arial"/>
                <w:sz w:val="22"/>
              </w:rPr>
              <w:t>took place</w:t>
            </w:r>
            <w:r>
              <w:rPr>
                <w:rFonts w:cs="Arial"/>
                <w:sz w:val="22"/>
              </w:rPr>
              <w:t xml:space="preserve">. While it was good to have </w:t>
            </w:r>
            <w:r w:rsidRPr="006451F5">
              <w:rPr>
                <w:rFonts w:cs="Arial"/>
                <w:sz w:val="22"/>
              </w:rPr>
              <w:t xml:space="preserve">police officers </w:t>
            </w:r>
            <w:r>
              <w:rPr>
                <w:rFonts w:cs="Arial"/>
                <w:sz w:val="22"/>
              </w:rPr>
              <w:t>support the field assessment, it would have been good to get officers with local k</w:t>
            </w:r>
            <w:r w:rsidRPr="006451F5">
              <w:rPr>
                <w:rFonts w:cs="Arial"/>
                <w:sz w:val="22"/>
              </w:rPr>
              <w:t>nowledge. The</w:t>
            </w:r>
            <w:r>
              <w:rPr>
                <w:rFonts w:cs="Arial"/>
                <w:sz w:val="22"/>
              </w:rPr>
              <w:t>re were instances where the</w:t>
            </w:r>
            <w:r w:rsidRPr="006451F5">
              <w:rPr>
                <w:rFonts w:cs="Arial"/>
                <w:sz w:val="22"/>
              </w:rPr>
              <w:t xml:space="preserve"> security officers </w:t>
            </w:r>
            <w:r>
              <w:rPr>
                <w:rFonts w:cs="Arial"/>
                <w:sz w:val="22"/>
              </w:rPr>
              <w:t>were more afraid of wildlife and threats</w:t>
            </w:r>
            <w:r w:rsidRPr="006451F5">
              <w:rPr>
                <w:rFonts w:cs="Arial"/>
                <w:sz w:val="22"/>
              </w:rPr>
              <w:t xml:space="preserve"> than team members</w:t>
            </w:r>
            <w:r>
              <w:rPr>
                <w:rFonts w:cs="Arial"/>
                <w:sz w:val="22"/>
              </w:rPr>
              <w:t>.</w:t>
            </w:r>
          </w:p>
          <w:p w14:paraId="3F5BB7EC" w14:textId="7F6A72CF" w:rsidR="006451F5" w:rsidRDefault="006451F5" w:rsidP="008E1F37">
            <w:pPr>
              <w:pStyle w:val="ListParagraph"/>
              <w:widowControl w:val="0"/>
              <w:numPr>
                <w:ilvl w:val="0"/>
                <w:numId w:val="16"/>
              </w:numPr>
              <w:spacing w:before="60" w:after="60"/>
              <w:ind w:left="318" w:hanging="284"/>
              <w:contextualSpacing w:val="0"/>
              <w:jc w:val="both"/>
              <w:rPr>
                <w:rFonts w:cs="Arial"/>
                <w:sz w:val="22"/>
              </w:rPr>
            </w:pPr>
            <w:r>
              <w:rPr>
                <w:rFonts w:cs="Arial"/>
                <w:sz w:val="22"/>
              </w:rPr>
              <w:t>The unforeseen expansion of the team from an approximately 5-person team to a 25-person team (with additional associate experts) led to additional demands for functions (communications, IT, logistics, security, reporting) which were not initially foreseen but which could be covered due to flexibility of other team members</w:t>
            </w:r>
          </w:p>
          <w:p w14:paraId="593EA024" w14:textId="77777777" w:rsidR="00C12972" w:rsidRDefault="006451F5" w:rsidP="008E1F37">
            <w:pPr>
              <w:pStyle w:val="ListParagraph"/>
              <w:widowControl w:val="0"/>
              <w:numPr>
                <w:ilvl w:val="0"/>
                <w:numId w:val="16"/>
              </w:numPr>
              <w:spacing w:before="60" w:after="60"/>
              <w:ind w:left="318" w:hanging="284"/>
              <w:contextualSpacing w:val="0"/>
              <w:jc w:val="both"/>
              <w:rPr>
                <w:rFonts w:cs="Arial"/>
                <w:sz w:val="22"/>
              </w:rPr>
            </w:pPr>
            <w:r>
              <w:rPr>
                <w:rFonts w:cs="Arial"/>
                <w:sz w:val="22"/>
              </w:rPr>
              <w:t>A</w:t>
            </w:r>
            <w:r w:rsidRPr="00403FA0">
              <w:rPr>
                <w:rFonts w:cs="Arial"/>
                <w:sz w:val="22"/>
              </w:rPr>
              <w:t xml:space="preserve"> basic field deployment ICT package for the mission</w:t>
            </w:r>
            <w:r>
              <w:rPr>
                <w:rFonts w:cs="Arial"/>
                <w:sz w:val="22"/>
              </w:rPr>
              <w:t xml:space="preserve"> would have been extremely useful; now there was not enough IT support and backup systems available.</w:t>
            </w:r>
          </w:p>
          <w:p w14:paraId="1428E212" w14:textId="52926642" w:rsidR="006451F5" w:rsidRPr="006451F5" w:rsidRDefault="006451F5" w:rsidP="008E1F37">
            <w:pPr>
              <w:pStyle w:val="ListParagraph"/>
              <w:widowControl w:val="0"/>
              <w:numPr>
                <w:ilvl w:val="0"/>
                <w:numId w:val="16"/>
              </w:numPr>
              <w:spacing w:before="60" w:after="60"/>
              <w:ind w:left="318" w:hanging="284"/>
              <w:contextualSpacing w:val="0"/>
              <w:jc w:val="both"/>
              <w:rPr>
                <w:rFonts w:cs="Arial"/>
                <w:sz w:val="22"/>
              </w:rPr>
            </w:pPr>
            <w:r>
              <w:rPr>
                <w:rFonts w:cs="Arial"/>
                <w:sz w:val="22"/>
              </w:rPr>
              <w:t>As typical in these situations, the implementation of recommendations will depend on the buy-in and political commitment of all involved parties.</w:t>
            </w:r>
          </w:p>
        </w:tc>
      </w:tr>
    </w:tbl>
    <w:p w14:paraId="5B18BB7A" w14:textId="77777777" w:rsidR="000939CD" w:rsidRPr="007F57DB" w:rsidRDefault="000939CD" w:rsidP="000939CD">
      <w:pPr>
        <w:rPr>
          <w:rFonts w:cs="Arial"/>
          <w:sz w:val="21"/>
          <w:szCs w:val="21"/>
          <w:lang w:val="en-GB"/>
        </w:rPr>
      </w:pPr>
    </w:p>
    <w:p w14:paraId="5EDD10DC" w14:textId="77777777" w:rsidR="000939CD" w:rsidRPr="000939CD" w:rsidRDefault="000939CD" w:rsidP="000939CD">
      <w:pPr>
        <w:tabs>
          <w:tab w:val="left" w:pos="284"/>
        </w:tabs>
        <w:spacing w:before="120"/>
        <w:ind w:left="142"/>
        <w:rPr>
          <w:rFonts w:cs="Arial"/>
          <w:bCs/>
          <w:sz w:val="21"/>
          <w:szCs w:val="21"/>
          <w:lang w:val="en-GB"/>
        </w:rPr>
      </w:pPr>
    </w:p>
    <w:p w14:paraId="61DCA415" w14:textId="77777777" w:rsidR="00C01758" w:rsidRDefault="00C01758" w:rsidP="00BF0505">
      <w:pPr>
        <w:pStyle w:val="ochacontenttext"/>
        <w:jc w:val="both"/>
        <w:rPr>
          <w:rFonts w:eastAsiaTheme="minorHAnsi" w:cstheme="minorBidi"/>
          <w:sz w:val="22"/>
          <w:szCs w:val="22"/>
          <w:lang w:val="en-GB" w:eastAsia="en-US"/>
        </w:rPr>
        <w:sectPr w:rsidR="00C01758" w:rsidSect="000F4FAC">
          <w:headerReference w:type="default" r:id="rId17"/>
          <w:footerReference w:type="default" r:id="rId18"/>
          <w:footerReference w:type="first" r:id="rId19"/>
          <w:type w:val="continuous"/>
          <w:pgSz w:w="11907" w:h="16839" w:code="9"/>
          <w:pgMar w:top="567" w:right="567" w:bottom="1701" w:left="851" w:header="567" w:footer="454" w:gutter="0"/>
          <w:cols w:space="708"/>
          <w:titlePg/>
          <w:docGrid w:linePitch="360"/>
        </w:sectPr>
      </w:pPr>
    </w:p>
    <w:p w14:paraId="688FA380" w14:textId="77777777" w:rsidR="00C01758" w:rsidRPr="00386AE1" w:rsidRDefault="00C01758" w:rsidP="00C01758">
      <w:pPr>
        <w:tabs>
          <w:tab w:val="left" w:pos="3261"/>
        </w:tabs>
        <w:spacing w:before="120"/>
        <w:ind w:hanging="426"/>
        <w:rPr>
          <w:rFonts w:eastAsia="Times New Roman" w:cs="Arial"/>
          <w:b/>
          <w:iCs/>
          <w:noProof/>
          <w:color w:val="auto"/>
          <w:lang w:eastAsia="en-GB"/>
        </w:rPr>
      </w:pPr>
      <w:r w:rsidRPr="00386AE1">
        <w:rPr>
          <w:rFonts w:eastAsia="Times New Roman" w:cs="Arial"/>
          <w:b/>
          <w:iCs/>
          <w:noProof/>
          <w:color w:val="auto"/>
          <w:lang w:eastAsia="en-GB"/>
        </w:rPr>
        <w:lastRenderedPageBreak/>
        <w:t>ANNEX 1. Team Composition</w:t>
      </w:r>
    </w:p>
    <w:p w14:paraId="69805896" w14:textId="77777777" w:rsidR="00C01758" w:rsidRPr="009E4639" w:rsidRDefault="00C01758" w:rsidP="00C01758">
      <w:pPr>
        <w:tabs>
          <w:tab w:val="left" w:pos="3261"/>
        </w:tabs>
        <w:spacing w:before="120"/>
        <w:rPr>
          <w:rFonts w:ascii="Calibri" w:eastAsia="Times New Roman" w:hAnsi="Calibri"/>
          <w:iCs/>
          <w:noProof/>
          <w:sz w:val="22"/>
          <w:lang w:eastAsia="en-GB"/>
        </w:rPr>
      </w:pPr>
    </w:p>
    <w:tbl>
      <w:tblPr>
        <w:tblpPr w:leftFromText="180" w:rightFromText="180" w:horzAnchor="page" w:tblpX="1243" w:tblpY="54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2835"/>
        <w:gridCol w:w="3402"/>
        <w:gridCol w:w="4854"/>
      </w:tblGrid>
      <w:tr w:rsidR="00C01758" w:rsidRPr="00454100" w14:paraId="79E3E855" w14:textId="77777777" w:rsidTr="00C01758">
        <w:trPr>
          <w:trHeight w:val="260"/>
        </w:trPr>
        <w:tc>
          <w:tcPr>
            <w:tcW w:w="12900" w:type="dxa"/>
            <w:gridSpan w:val="4"/>
            <w:shd w:val="clear" w:color="auto" w:fill="D9D9D9"/>
          </w:tcPr>
          <w:p w14:paraId="7BD372B1" w14:textId="77777777" w:rsidR="00C01758" w:rsidRPr="00454100" w:rsidRDefault="00C01758" w:rsidP="00C01758">
            <w:pPr>
              <w:spacing w:before="120"/>
              <w:jc w:val="center"/>
              <w:rPr>
                <w:rFonts w:cs="Arial"/>
                <w:b/>
                <w:color w:val="auto"/>
                <w:szCs w:val="20"/>
                <w:lang w:eastAsia="ja-JP"/>
              </w:rPr>
            </w:pPr>
            <w:r w:rsidRPr="00454100">
              <w:rPr>
                <w:rFonts w:cs="Arial"/>
                <w:b/>
                <w:color w:val="auto"/>
                <w:szCs w:val="20"/>
              </w:rPr>
              <w:t>Joint UN / GoB Sundarbans Oil Spill Response Team</w:t>
            </w:r>
          </w:p>
        </w:tc>
      </w:tr>
      <w:tr w:rsidR="00C01758" w:rsidRPr="00454100" w14:paraId="0FB1DA93" w14:textId="77777777" w:rsidTr="00C01758">
        <w:trPr>
          <w:trHeight w:val="315"/>
        </w:trPr>
        <w:tc>
          <w:tcPr>
            <w:tcW w:w="1809" w:type="dxa"/>
            <w:shd w:val="clear" w:color="auto" w:fill="D9D9D9"/>
          </w:tcPr>
          <w:p w14:paraId="375504C8" w14:textId="77777777" w:rsidR="00C01758" w:rsidRPr="00454100" w:rsidRDefault="00C01758" w:rsidP="00C01758">
            <w:pPr>
              <w:spacing w:before="120"/>
              <w:rPr>
                <w:rFonts w:cs="Arial"/>
                <w:b/>
                <w:color w:val="auto"/>
                <w:szCs w:val="20"/>
              </w:rPr>
            </w:pPr>
            <w:r w:rsidRPr="00454100">
              <w:rPr>
                <w:rFonts w:cs="Arial"/>
                <w:b/>
                <w:color w:val="auto"/>
                <w:szCs w:val="20"/>
              </w:rPr>
              <w:t>Country</w:t>
            </w:r>
          </w:p>
        </w:tc>
        <w:tc>
          <w:tcPr>
            <w:tcW w:w="2835" w:type="dxa"/>
            <w:shd w:val="clear" w:color="auto" w:fill="D9D9D9"/>
          </w:tcPr>
          <w:p w14:paraId="53A548E4" w14:textId="77777777" w:rsidR="00C01758" w:rsidRPr="00454100" w:rsidRDefault="00C01758" w:rsidP="00C01758">
            <w:pPr>
              <w:spacing w:before="120"/>
              <w:rPr>
                <w:rFonts w:cs="Arial"/>
                <w:b/>
                <w:color w:val="auto"/>
                <w:szCs w:val="20"/>
              </w:rPr>
            </w:pPr>
            <w:r w:rsidRPr="00454100">
              <w:rPr>
                <w:rFonts w:cs="Arial"/>
                <w:b/>
                <w:color w:val="auto"/>
                <w:szCs w:val="20"/>
              </w:rPr>
              <w:t>Organization</w:t>
            </w:r>
          </w:p>
        </w:tc>
        <w:tc>
          <w:tcPr>
            <w:tcW w:w="3402" w:type="dxa"/>
            <w:shd w:val="clear" w:color="auto" w:fill="D9D9D9"/>
          </w:tcPr>
          <w:p w14:paraId="06EA43AD" w14:textId="77777777" w:rsidR="00C01758" w:rsidRPr="00454100" w:rsidRDefault="00C01758" w:rsidP="00C01758">
            <w:pPr>
              <w:spacing w:before="120"/>
              <w:rPr>
                <w:rFonts w:cs="Arial"/>
                <w:b/>
                <w:color w:val="auto"/>
                <w:szCs w:val="20"/>
              </w:rPr>
            </w:pPr>
            <w:r w:rsidRPr="00454100">
              <w:rPr>
                <w:rFonts w:cs="Arial"/>
                <w:b/>
                <w:color w:val="auto"/>
                <w:szCs w:val="20"/>
              </w:rPr>
              <w:t>Name</w:t>
            </w:r>
          </w:p>
        </w:tc>
        <w:tc>
          <w:tcPr>
            <w:tcW w:w="4854" w:type="dxa"/>
            <w:shd w:val="clear" w:color="auto" w:fill="D9D9D9"/>
          </w:tcPr>
          <w:p w14:paraId="6432E617" w14:textId="77777777" w:rsidR="00C01758" w:rsidRPr="00454100" w:rsidRDefault="00C01758" w:rsidP="00C01758">
            <w:pPr>
              <w:spacing w:before="120"/>
              <w:rPr>
                <w:rFonts w:cs="Arial"/>
                <w:b/>
                <w:color w:val="auto"/>
                <w:szCs w:val="20"/>
              </w:rPr>
            </w:pPr>
            <w:r w:rsidRPr="00454100">
              <w:rPr>
                <w:rFonts w:cs="Arial"/>
                <w:b/>
                <w:color w:val="auto"/>
                <w:szCs w:val="20"/>
              </w:rPr>
              <w:t>Focus</w:t>
            </w:r>
          </w:p>
        </w:tc>
      </w:tr>
      <w:tr w:rsidR="00C01758" w:rsidRPr="00454100" w14:paraId="6B3AFBD3" w14:textId="77777777" w:rsidTr="00C01758">
        <w:trPr>
          <w:trHeight w:val="253"/>
        </w:trPr>
        <w:tc>
          <w:tcPr>
            <w:tcW w:w="1809" w:type="dxa"/>
          </w:tcPr>
          <w:p w14:paraId="351AE131" w14:textId="77777777" w:rsidR="00C01758" w:rsidRPr="00454100" w:rsidRDefault="00C01758" w:rsidP="00C01758">
            <w:pPr>
              <w:spacing w:before="120"/>
              <w:rPr>
                <w:rFonts w:cs="Arial"/>
                <w:color w:val="auto"/>
                <w:szCs w:val="20"/>
              </w:rPr>
            </w:pPr>
            <w:r w:rsidRPr="00454100">
              <w:rPr>
                <w:rFonts w:cs="Arial"/>
                <w:color w:val="auto"/>
                <w:szCs w:val="20"/>
              </w:rPr>
              <w:t>Finland</w:t>
            </w:r>
          </w:p>
        </w:tc>
        <w:tc>
          <w:tcPr>
            <w:tcW w:w="2835" w:type="dxa"/>
          </w:tcPr>
          <w:p w14:paraId="633DD995" w14:textId="77777777" w:rsidR="00C01758" w:rsidRPr="00454100" w:rsidRDefault="00C01758" w:rsidP="00C01758">
            <w:pPr>
              <w:spacing w:before="120"/>
              <w:rPr>
                <w:rFonts w:cs="Arial"/>
                <w:color w:val="auto"/>
                <w:szCs w:val="20"/>
              </w:rPr>
            </w:pPr>
            <w:r w:rsidRPr="00454100">
              <w:rPr>
                <w:rFonts w:cs="Arial"/>
                <w:color w:val="auto"/>
                <w:szCs w:val="20"/>
              </w:rPr>
              <w:t>UNDAC / UNEP/OCHA</w:t>
            </w:r>
          </w:p>
        </w:tc>
        <w:tc>
          <w:tcPr>
            <w:tcW w:w="3402" w:type="dxa"/>
          </w:tcPr>
          <w:p w14:paraId="56D11F97" w14:textId="77777777" w:rsidR="00C01758" w:rsidRPr="00454100" w:rsidRDefault="00C01758" w:rsidP="00C01758">
            <w:pPr>
              <w:spacing w:before="120"/>
              <w:rPr>
                <w:rFonts w:cs="Arial"/>
                <w:color w:val="auto"/>
                <w:szCs w:val="20"/>
              </w:rPr>
            </w:pPr>
            <w:r w:rsidRPr="00454100">
              <w:rPr>
                <w:rFonts w:cs="Arial"/>
                <w:color w:val="auto"/>
                <w:szCs w:val="20"/>
              </w:rPr>
              <w:t>Emilia Wahlstrom</w:t>
            </w:r>
          </w:p>
        </w:tc>
        <w:tc>
          <w:tcPr>
            <w:tcW w:w="4854" w:type="dxa"/>
          </w:tcPr>
          <w:p w14:paraId="2FB5C45D" w14:textId="77777777" w:rsidR="00C01758" w:rsidRPr="00454100" w:rsidRDefault="00C01758" w:rsidP="00C01758">
            <w:pPr>
              <w:spacing w:before="120"/>
              <w:rPr>
                <w:rFonts w:cs="Arial"/>
                <w:color w:val="auto"/>
                <w:szCs w:val="20"/>
              </w:rPr>
            </w:pPr>
            <w:r w:rsidRPr="00454100">
              <w:rPr>
                <w:rFonts w:cs="Arial"/>
                <w:color w:val="auto"/>
                <w:szCs w:val="20"/>
              </w:rPr>
              <w:t>Team Leader</w:t>
            </w:r>
          </w:p>
        </w:tc>
      </w:tr>
      <w:tr w:rsidR="00C01758" w:rsidRPr="00454100" w14:paraId="34FC9CC8" w14:textId="77777777" w:rsidTr="00C01758">
        <w:trPr>
          <w:trHeight w:val="270"/>
        </w:trPr>
        <w:tc>
          <w:tcPr>
            <w:tcW w:w="1809" w:type="dxa"/>
          </w:tcPr>
          <w:p w14:paraId="50DBB7E6" w14:textId="77777777" w:rsidR="00C01758" w:rsidRPr="00454100" w:rsidRDefault="00C01758" w:rsidP="00C01758">
            <w:pPr>
              <w:spacing w:before="120"/>
              <w:rPr>
                <w:rFonts w:cs="Arial"/>
                <w:color w:val="auto"/>
                <w:szCs w:val="20"/>
              </w:rPr>
            </w:pPr>
            <w:r w:rsidRPr="00454100">
              <w:rPr>
                <w:rFonts w:cs="Arial"/>
                <w:color w:val="auto"/>
                <w:szCs w:val="20"/>
              </w:rPr>
              <w:t>Bangladesh</w:t>
            </w:r>
          </w:p>
        </w:tc>
        <w:tc>
          <w:tcPr>
            <w:tcW w:w="2835" w:type="dxa"/>
          </w:tcPr>
          <w:p w14:paraId="182AE247" w14:textId="77777777" w:rsidR="00C01758" w:rsidRPr="00454100" w:rsidRDefault="00C01758" w:rsidP="00C01758">
            <w:pPr>
              <w:spacing w:before="120"/>
              <w:rPr>
                <w:rFonts w:cs="Arial"/>
                <w:color w:val="auto"/>
                <w:szCs w:val="20"/>
              </w:rPr>
            </w:pPr>
            <w:r w:rsidRPr="00454100">
              <w:rPr>
                <w:rFonts w:cs="Arial"/>
                <w:color w:val="auto"/>
                <w:szCs w:val="20"/>
              </w:rPr>
              <w:t>UNDP</w:t>
            </w:r>
          </w:p>
        </w:tc>
        <w:tc>
          <w:tcPr>
            <w:tcW w:w="3402" w:type="dxa"/>
          </w:tcPr>
          <w:p w14:paraId="40376A9A" w14:textId="77777777" w:rsidR="00C01758" w:rsidRPr="00454100" w:rsidRDefault="00C01758" w:rsidP="00C01758">
            <w:pPr>
              <w:spacing w:before="120"/>
              <w:rPr>
                <w:rFonts w:cs="Arial"/>
                <w:color w:val="auto"/>
                <w:szCs w:val="20"/>
              </w:rPr>
            </w:pPr>
            <w:r w:rsidRPr="00454100">
              <w:rPr>
                <w:rFonts w:cs="Arial"/>
                <w:color w:val="auto"/>
                <w:szCs w:val="20"/>
              </w:rPr>
              <w:t>Khurshid Alam</w:t>
            </w:r>
          </w:p>
        </w:tc>
        <w:tc>
          <w:tcPr>
            <w:tcW w:w="4854" w:type="dxa"/>
          </w:tcPr>
          <w:p w14:paraId="29016140" w14:textId="77777777" w:rsidR="00C01758" w:rsidRPr="00454100" w:rsidRDefault="00C01758" w:rsidP="00C01758">
            <w:pPr>
              <w:spacing w:before="120"/>
              <w:rPr>
                <w:rFonts w:cs="Arial"/>
                <w:color w:val="auto"/>
                <w:szCs w:val="20"/>
              </w:rPr>
            </w:pPr>
            <w:r w:rsidRPr="00454100">
              <w:rPr>
                <w:rFonts w:cs="Arial"/>
                <w:color w:val="auto"/>
                <w:szCs w:val="20"/>
              </w:rPr>
              <w:t>Deputy Team Leader</w:t>
            </w:r>
          </w:p>
        </w:tc>
      </w:tr>
      <w:tr w:rsidR="00C01758" w:rsidRPr="00454100" w14:paraId="517DA4E9" w14:textId="77777777" w:rsidTr="00C01758">
        <w:trPr>
          <w:trHeight w:val="273"/>
        </w:trPr>
        <w:tc>
          <w:tcPr>
            <w:tcW w:w="1809" w:type="dxa"/>
          </w:tcPr>
          <w:p w14:paraId="5A1777E6" w14:textId="77777777" w:rsidR="00C01758" w:rsidRPr="00454100" w:rsidRDefault="00C01758" w:rsidP="00C01758">
            <w:pPr>
              <w:spacing w:before="120"/>
              <w:rPr>
                <w:rFonts w:cs="Arial"/>
                <w:color w:val="auto"/>
                <w:szCs w:val="20"/>
              </w:rPr>
            </w:pPr>
            <w:r w:rsidRPr="00454100">
              <w:rPr>
                <w:rFonts w:cs="Arial"/>
                <w:color w:val="auto"/>
                <w:szCs w:val="20"/>
              </w:rPr>
              <w:t>Sweden</w:t>
            </w:r>
          </w:p>
        </w:tc>
        <w:tc>
          <w:tcPr>
            <w:tcW w:w="2835" w:type="dxa"/>
          </w:tcPr>
          <w:p w14:paraId="515FAB30" w14:textId="77777777" w:rsidR="00C01758" w:rsidRPr="00454100" w:rsidRDefault="00C01758" w:rsidP="00C01758">
            <w:pPr>
              <w:spacing w:before="120"/>
              <w:rPr>
                <w:rFonts w:cs="Arial"/>
                <w:color w:val="auto"/>
                <w:szCs w:val="20"/>
              </w:rPr>
            </w:pPr>
            <w:r w:rsidRPr="00454100">
              <w:rPr>
                <w:rFonts w:cs="Arial"/>
                <w:color w:val="auto"/>
                <w:szCs w:val="20"/>
              </w:rPr>
              <w:t>UNDAC</w:t>
            </w:r>
          </w:p>
        </w:tc>
        <w:tc>
          <w:tcPr>
            <w:tcW w:w="3402" w:type="dxa"/>
          </w:tcPr>
          <w:p w14:paraId="5E373B35" w14:textId="77777777" w:rsidR="00C01758" w:rsidRPr="00454100" w:rsidRDefault="00C01758" w:rsidP="00C01758">
            <w:pPr>
              <w:spacing w:before="120"/>
              <w:rPr>
                <w:rFonts w:cs="Arial"/>
                <w:color w:val="auto"/>
                <w:szCs w:val="20"/>
              </w:rPr>
            </w:pPr>
            <w:r w:rsidRPr="00454100">
              <w:rPr>
                <w:rFonts w:cs="Arial"/>
                <w:color w:val="auto"/>
                <w:szCs w:val="20"/>
              </w:rPr>
              <w:t xml:space="preserve">Per-Anders Berthlin </w:t>
            </w:r>
          </w:p>
        </w:tc>
        <w:tc>
          <w:tcPr>
            <w:tcW w:w="4854" w:type="dxa"/>
          </w:tcPr>
          <w:p w14:paraId="07E75A3E" w14:textId="77777777" w:rsidR="00C01758" w:rsidRPr="00454100" w:rsidRDefault="00C01758" w:rsidP="00C01758">
            <w:pPr>
              <w:spacing w:before="120"/>
              <w:rPr>
                <w:rFonts w:cs="Arial"/>
                <w:color w:val="auto"/>
                <w:szCs w:val="20"/>
              </w:rPr>
            </w:pPr>
            <w:r w:rsidRPr="00454100">
              <w:rPr>
                <w:rFonts w:cs="Arial"/>
                <w:color w:val="auto"/>
                <w:szCs w:val="20"/>
              </w:rPr>
              <w:t>Assessment Coordinator</w:t>
            </w:r>
          </w:p>
        </w:tc>
      </w:tr>
      <w:tr w:rsidR="00C01758" w:rsidRPr="00454100" w14:paraId="60D936DA" w14:textId="77777777" w:rsidTr="00C01758">
        <w:trPr>
          <w:trHeight w:val="277"/>
        </w:trPr>
        <w:tc>
          <w:tcPr>
            <w:tcW w:w="1809" w:type="dxa"/>
          </w:tcPr>
          <w:p w14:paraId="5C2C54D0" w14:textId="77777777" w:rsidR="00C01758" w:rsidRPr="00454100" w:rsidRDefault="00C01758" w:rsidP="00C01758">
            <w:pPr>
              <w:spacing w:before="120"/>
              <w:rPr>
                <w:rFonts w:cs="Arial"/>
                <w:color w:val="auto"/>
                <w:szCs w:val="20"/>
              </w:rPr>
            </w:pPr>
            <w:r w:rsidRPr="00454100">
              <w:rPr>
                <w:rFonts w:cs="Arial"/>
                <w:color w:val="auto"/>
                <w:szCs w:val="20"/>
              </w:rPr>
              <w:t xml:space="preserve">Japan </w:t>
            </w:r>
          </w:p>
        </w:tc>
        <w:tc>
          <w:tcPr>
            <w:tcW w:w="2835" w:type="dxa"/>
          </w:tcPr>
          <w:p w14:paraId="2BBE850F" w14:textId="77777777" w:rsidR="00C01758" w:rsidRPr="00454100" w:rsidRDefault="00C01758" w:rsidP="00C01758">
            <w:pPr>
              <w:spacing w:before="120"/>
              <w:rPr>
                <w:rFonts w:cs="Arial"/>
                <w:color w:val="auto"/>
                <w:szCs w:val="20"/>
              </w:rPr>
            </w:pPr>
            <w:r w:rsidRPr="00454100">
              <w:rPr>
                <w:rFonts w:cs="Arial"/>
                <w:color w:val="auto"/>
                <w:szCs w:val="20"/>
              </w:rPr>
              <w:t>UNDAC</w:t>
            </w:r>
          </w:p>
        </w:tc>
        <w:tc>
          <w:tcPr>
            <w:tcW w:w="3402" w:type="dxa"/>
          </w:tcPr>
          <w:p w14:paraId="47034D97" w14:textId="77777777" w:rsidR="00C01758" w:rsidRPr="00454100" w:rsidRDefault="00C01758" w:rsidP="00C01758">
            <w:pPr>
              <w:spacing w:before="120"/>
              <w:rPr>
                <w:rFonts w:cs="Arial"/>
                <w:color w:val="auto"/>
                <w:szCs w:val="20"/>
              </w:rPr>
            </w:pPr>
            <w:r w:rsidRPr="00454100">
              <w:rPr>
                <w:rFonts w:cs="Arial"/>
                <w:color w:val="auto"/>
                <w:szCs w:val="20"/>
              </w:rPr>
              <w:t>Haruka Ezaki</w:t>
            </w:r>
          </w:p>
        </w:tc>
        <w:tc>
          <w:tcPr>
            <w:tcW w:w="4854" w:type="dxa"/>
          </w:tcPr>
          <w:p w14:paraId="64C47C16" w14:textId="77777777" w:rsidR="00C01758" w:rsidRPr="00454100" w:rsidRDefault="00C01758" w:rsidP="00C01758">
            <w:pPr>
              <w:spacing w:before="120"/>
              <w:rPr>
                <w:rFonts w:cs="Arial"/>
                <w:color w:val="auto"/>
                <w:szCs w:val="20"/>
              </w:rPr>
            </w:pPr>
            <w:r w:rsidRPr="00454100">
              <w:rPr>
                <w:rFonts w:cs="Arial"/>
                <w:color w:val="auto"/>
                <w:szCs w:val="20"/>
              </w:rPr>
              <w:t>Reporting and Logistics</w:t>
            </w:r>
          </w:p>
        </w:tc>
      </w:tr>
      <w:tr w:rsidR="00C01758" w:rsidRPr="00454100" w14:paraId="6D93E5CC" w14:textId="77777777" w:rsidTr="00C01758">
        <w:trPr>
          <w:trHeight w:val="267"/>
        </w:trPr>
        <w:tc>
          <w:tcPr>
            <w:tcW w:w="1809" w:type="dxa"/>
          </w:tcPr>
          <w:p w14:paraId="081A2164" w14:textId="77777777" w:rsidR="00C01758" w:rsidRPr="00454100" w:rsidRDefault="00C01758" w:rsidP="00C01758">
            <w:pPr>
              <w:spacing w:before="120"/>
              <w:rPr>
                <w:rFonts w:cs="Arial"/>
                <w:color w:val="auto"/>
                <w:szCs w:val="20"/>
              </w:rPr>
            </w:pPr>
            <w:r w:rsidRPr="00454100">
              <w:rPr>
                <w:rFonts w:cs="Arial"/>
                <w:color w:val="auto"/>
                <w:szCs w:val="20"/>
              </w:rPr>
              <w:t>Bangladesh</w:t>
            </w:r>
          </w:p>
        </w:tc>
        <w:tc>
          <w:tcPr>
            <w:tcW w:w="2835" w:type="dxa"/>
          </w:tcPr>
          <w:p w14:paraId="6D7FA4C9" w14:textId="77777777" w:rsidR="00C01758" w:rsidRPr="00454100" w:rsidRDefault="00C01758" w:rsidP="00C01758">
            <w:pPr>
              <w:spacing w:before="120"/>
              <w:rPr>
                <w:rFonts w:cs="Arial"/>
                <w:color w:val="auto"/>
                <w:szCs w:val="20"/>
              </w:rPr>
            </w:pPr>
            <w:r w:rsidRPr="00454100">
              <w:rPr>
                <w:rFonts w:cs="Arial"/>
                <w:color w:val="auto"/>
                <w:szCs w:val="20"/>
              </w:rPr>
              <w:t>UNDP</w:t>
            </w:r>
          </w:p>
        </w:tc>
        <w:tc>
          <w:tcPr>
            <w:tcW w:w="3402" w:type="dxa"/>
          </w:tcPr>
          <w:p w14:paraId="54E19A58" w14:textId="77777777" w:rsidR="00C01758" w:rsidRPr="00454100" w:rsidRDefault="00C01758" w:rsidP="00C01758">
            <w:pPr>
              <w:spacing w:before="120"/>
              <w:rPr>
                <w:rFonts w:cs="Arial"/>
                <w:color w:val="auto"/>
                <w:szCs w:val="20"/>
              </w:rPr>
            </w:pPr>
            <w:r w:rsidRPr="00454100">
              <w:rPr>
                <w:rFonts w:cs="Arial"/>
                <w:color w:val="auto"/>
                <w:szCs w:val="20"/>
              </w:rPr>
              <w:t>Alamgir Hossain</w:t>
            </w:r>
          </w:p>
        </w:tc>
        <w:tc>
          <w:tcPr>
            <w:tcW w:w="4854" w:type="dxa"/>
          </w:tcPr>
          <w:p w14:paraId="6DEB0E63" w14:textId="77777777" w:rsidR="00C01758" w:rsidRPr="00454100" w:rsidRDefault="00C01758" w:rsidP="00C01758">
            <w:pPr>
              <w:spacing w:before="120"/>
              <w:rPr>
                <w:rFonts w:cs="Arial"/>
                <w:color w:val="auto"/>
                <w:szCs w:val="20"/>
              </w:rPr>
            </w:pPr>
            <w:r w:rsidRPr="00454100">
              <w:rPr>
                <w:rFonts w:cs="Arial"/>
                <w:color w:val="auto"/>
                <w:szCs w:val="20"/>
              </w:rPr>
              <w:t>Field Operations Coordinator</w:t>
            </w:r>
          </w:p>
        </w:tc>
      </w:tr>
      <w:tr w:rsidR="00C01758" w:rsidRPr="00454100" w14:paraId="67910BB5" w14:textId="77777777" w:rsidTr="00C01758">
        <w:trPr>
          <w:trHeight w:val="285"/>
        </w:trPr>
        <w:tc>
          <w:tcPr>
            <w:tcW w:w="1809" w:type="dxa"/>
          </w:tcPr>
          <w:p w14:paraId="5DE3AA6F" w14:textId="77777777" w:rsidR="00C01758" w:rsidRPr="00454100" w:rsidRDefault="00C01758" w:rsidP="00C01758">
            <w:pPr>
              <w:spacing w:before="120"/>
              <w:rPr>
                <w:rFonts w:cs="Arial"/>
                <w:color w:val="auto"/>
                <w:szCs w:val="20"/>
              </w:rPr>
            </w:pPr>
            <w:r w:rsidRPr="00454100">
              <w:rPr>
                <w:rFonts w:cs="Arial"/>
                <w:color w:val="auto"/>
                <w:szCs w:val="20"/>
              </w:rPr>
              <w:t>France</w:t>
            </w:r>
          </w:p>
        </w:tc>
        <w:tc>
          <w:tcPr>
            <w:tcW w:w="2835" w:type="dxa"/>
          </w:tcPr>
          <w:p w14:paraId="020E50C0" w14:textId="77777777" w:rsidR="00C01758" w:rsidRPr="00454100" w:rsidRDefault="00C01758" w:rsidP="00C01758">
            <w:pPr>
              <w:spacing w:before="120"/>
              <w:rPr>
                <w:rFonts w:cs="Arial"/>
                <w:color w:val="auto"/>
                <w:szCs w:val="20"/>
              </w:rPr>
            </w:pPr>
            <w:r w:rsidRPr="00454100">
              <w:rPr>
                <w:rFonts w:cs="Arial"/>
                <w:color w:val="auto"/>
                <w:szCs w:val="20"/>
              </w:rPr>
              <w:t>CEDRE</w:t>
            </w:r>
          </w:p>
        </w:tc>
        <w:tc>
          <w:tcPr>
            <w:tcW w:w="3402" w:type="dxa"/>
          </w:tcPr>
          <w:p w14:paraId="7A3C82DB" w14:textId="77777777" w:rsidR="00C01758" w:rsidRPr="00454100" w:rsidRDefault="00C01758" w:rsidP="00C01758">
            <w:pPr>
              <w:spacing w:before="120"/>
              <w:rPr>
                <w:rFonts w:cs="Arial"/>
                <w:color w:val="auto"/>
                <w:szCs w:val="20"/>
              </w:rPr>
            </w:pPr>
            <w:r w:rsidRPr="00454100">
              <w:rPr>
                <w:rFonts w:cs="Arial"/>
                <w:color w:val="auto"/>
                <w:szCs w:val="20"/>
              </w:rPr>
              <w:t>Loic Kerambrun</w:t>
            </w:r>
          </w:p>
        </w:tc>
        <w:tc>
          <w:tcPr>
            <w:tcW w:w="4854" w:type="dxa"/>
          </w:tcPr>
          <w:p w14:paraId="7E74F2BC" w14:textId="77777777" w:rsidR="00C01758" w:rsidRPr="00454100" w:rsidRDefault="00C01758" w:rsidP="00C01758">
            <w:pPr>
              <w:spacing w:before="120"/>
              <w:rPr>
                <w:rFonts w:cs="Arial"/>
                <w:color w:val="auto"/>
                <w:szCs w:val="20"/>
              </w:rPr>
            </w:pPr>
            <w:r w:rsidRPr="00454100">
              <w:rPr>
                <w:rFonts w:cs="Arial"/>
                <w:color w:val="auto"/>
                <w:szCs w:val="20"/>
              </w:rPr>
              <w:t>Oil spill intervention expert</w:t>
            </w:r>
          </w:p>
        </w:tc>
      </w:tr>
      <w:tr w:rsidR="00C01758" w:rsidRPr="00454100" w14:paraId="634EFE58" w14:textId="77777777" w:rsidTr="00C01758">
        <w:trPr>
          <w:trHeight w:val="285"/>
        </w:trPr>
        <w:tc>
          <w:tcPr>
            <w:tcW w:w="1809" w:type="dxa"/>
          </w:tcPr>
          <w:p w14:paraId="427B10DF" w14:textId="77777777" w:rsidR="00C01758" w:rsidRPr="00454100" w:rsidRDefault="00C01758" w:rsidP="00C01758">
            <w:pPr>
              <w:spacing w:before="120"/>
              <w:rPr>
                <w:rFonts w:cs="Arial"/>
                <w:color w:val="auto"/>
                <w:szCs w:val="20"/>
              </w:rPr>
            </w:pPr>
            <w:r w:rsidRPr="00454100">
              <w:rPr>
                <w:rFonts w:cs="Arial"/>
                <w:color w:val="auto"/>
                <w:szCs w:val="20"/>
              </w:rPr>
              <w:t>Bangladesh</w:t>
            </w:r>
          </w:p>
        </w:tc>
        <w:tc>
          <w:tcPr>
            <w:tcW w:w="2835" w:type="dxa"/>
          </w:tcPr>
          <w:p w14:paraId="064306FE" w14:textId="77777777" w:rsidR="00C01758" w:rsidRPr="00454100" w:rsidRDefault="00C01758" w:rsidP="00C01758">
            <w:pPr>
              <w:spacing w:before="120"/>
              <w:rPr>
                <w:rFonts w:cs="Arial"/>
                <w:color w:val="auto"/>
                <w:szCs w:val="20"/>
              </w:rPr>
            </w:pPr>
            <w:r w:rsidRPr="00454100">
              <w:rPr>
                <w:rFonts w:cs="Arial"/>
                <w:color w:val="auto"/>
                <w:szCs w:val="20"/>
              </w:rPr>
              <w:t xml:space="preserve">Government </w:t>
            </w:r>
          </w:p>
        </w:tc>
        <w:tc>
          <w:tcPr>
            <w:tcW w:w="3402" w:type="dxa"/>
          </w:tcPr>
          <w:p w14:paraId="546FF8CB" w14:textId="77777777" w:rsidR="00C01758" w:rsidRPr="00454100" w:rsidRDefault="00C01758" w:rsidP="00C01758">
            <w:pPr>
              <w:spacing w:before="120"/>
              <w:rPr>
                <w:rFonts w:cs="Arial"/>
                <w:color w:val="auto"/>
                <w:szCs w:val="20"/>
              </w:rPr>
            </w:pPr>
            <w:r w:rsidRPr="00454100">
              <w:rPr>
                <w:rFonts w:cs="Arial"/>
                <w:color w:val="auto"/>
                <w:szCs w:val="20"/>
              </w:rPr>
              <w:t xml:space="preserve">Syed Mehedi Hasan </w:t>
            </w:r>
          </w:p>
        </w:tc>
        <w:tc>
          <w:tcPr>
            <w:tcW w:w="4854" w:type="dxa"/>
          </w:tcPr>
          <w:p w14:paraId="66A85843" w14:textId="77777777" w:rsidR="00C01758" w:rsidRPr="00454100" w:rsidRDefault="00C01758" w:rsidP="00C01758">
            <w:pPr>
              <w:spacing w:before="120"/>
              <w:rPr>
                <w:rFonts w:cs="Arial"/>
                <w:color w:val="auto"/>
                <w:szCs w:val="20"/>
              </w:rPr>
            </w:pPr>
            <w:r w:rsidRPr="00454100">
              <w:rPr>
                <w:rFonts w:cs="Arial"/>
                <w:color w:val="auto"/>
                <w:szCs w:val="20"/>
              </w:rPr>
              <w:t>Deputy Secretary MOEF</w:t>
            </w:r>
          </w:p>
        </w:tc>
      </w:tr>
      <w:tr w:rsidR="00C01758" w:rsidRPr="00454100" w14:paraId="027AC0EE" w14:textId="77777777" w:rsidTr="00C01758">
        <w:trPr>
          <w:trHeight w:val="285"/>
        </w:trPr>
        <w:tc>
          <w:tcPr>
            <w:tcW w:w="1809" w:type="dxa"/>
          </w:tcPr>
          <w:p w14:paraId="68806768" w14:textId="77777777" w:rsidR="00C01758" w:rsidRPr="00454100" w:rsidRDefault="00C01758" w:rsidP="00C01758">
            <w:pPr>
              <w:spacing w:before="120"/>
              <w:rPr>
                <w:rFonts w:cs="Arial"/>
                <w:color w:val="auto"/>
                <w:szCs w:val="20"/>
              </w:rPr>
            </w:pPr>
            <w:r w:rsidRPr="00454100">
              <w:rPr>
                <w:rFonts w:cs="Arial"/>
                <w:color w:val="auto"/>
                <w:szCs w:val="20"/>
              </w:rPr>
              <w:t>Bangladesh</w:t>
            </w:r>
          </w:p>
        </w:tc>
        <w:tc>
          <w:tcPr>
            <w:tcW w:w="2835" w:type="dxa"/>
          </w:tcPr>
          <w:p w14:paraId="210C0123" w14:textId="77777777" w:rsidR="00C01758" w:rsidRPr="00454100" w:rsidRDefault="00C01758" w:rsidP="00C01758">
            <w:pPr>
              <w:spacing w:before="120"/>
              <w:rPr>
                <w:rFonts w:cs="Arial"/>
                <w:color w:val="auto"/>
                <w:szCs w:val="20"/>
              </w:rPr>
            </w:pPr>
            <w:r w:rsidRPr="00454100">
              <w:rPr>
                <w:rFonts w:cs="Arial"/>
                <w:color w:val="auto"/>
                <w:szCs w:val="20"/>
              </w:rPr>
              <w:t>Forest Department</w:t>
            </w:r>
          </w:p>
        </w:tc>
        <w:tc>
          <w:tcPr>
            <w:tcW w:w="3402" w:type="dxa"/>
          </w:tcPr>
          <w:p w14:paraId="649454F5" w14:textId="77777777" w:rsidR="00C01758" w:rsidRPr="00454100" w:rsidRDefault="00C01758" w:rsidP="00C01758">
            <w:pPr>
              <w:spacing w:before="120"/>
              <w:rPr>
                <w:rFonts w:cs="Arial"/>
                <w:color w:val="auto"/>
                <w:szCs w:val="20"/>
              </w:rPr>
            </w:pPr>
            <w:r w:rsidRPr="00454100">
              <w:rPr>
                <w:rFonts w:cs="Arial"/>
                <w:color w:val="auto"/>
                <w:szCs w:val="20"/>
              </w:rPr>
              <w:t>Zahir Uddin Ahmed</w:t>
            </w:r>
          </w:p>
        </w:tc>
        <w:tc>
          <w:tcPr>
            <w:tcW w:w="4854" w:type="dxa"/>
          </w:tcPr>
          <w:p w14:paraId="298C3284" w14:textId="77777777" w:rsidR="00C01758" w:rsidRPr="00454100" w:rsidRDefault="00C01758" w:rsidP="00C01758">
            <w:pPr>
              <w:spacing w:before="120"/>
              <w:rPr>
                <w:rFonts w:cs="Arial"/>
                <w:color w:val="auto"/>
                <w:szCs w:val="20"/>
              </w:rPr>
            </w:pPr>
            <w:r w:rsidRPr="00454100">
              <w:rPr>
                <w:rFonts w:cs="Arial"/>
                <w:color w:val="auto"/>
                <w:szCs w:val="20"/>
              </w:rPr>
              <w:t xml:space="preserve">DFO, Sundarbans West Division </w:t>
            </w:r>
          </w:p>
        </w:tc>
      </w:tr>
      <w:tr w:rsidR="00C01758" w:rsidRPr="00454100" w14:paraId="22388AC2" w14:textId="77777777" w:rsidTr="00C01758">
        <w:trPr>
          <w:trHeight w:val="285"/>
        </w:trPr>
        <w:tc>
          <w:tcPr>
            <w:tcW w:w="1809" w:type="dxa"/>
          </w:tcPr>
          <w:p w14:paraId="3A482F2C" w14:textId="77777777" w:rsidR="00C01758" w:rsidRPr="00454100" w:rsidRDefault="00C01758" w:rsidP="00C01758">
            <w:pPr>
              <w:spacing w:before="120"/>
              <w:rPr>
                <w:rFonts w:cs="Arial"/>
                <w:color w:val="auto"/>
                <w:szCs w:val="20"/>
              </w:rPr>
            </w:pPr>
            <w:r w:rsidRPr="00454100">
              <w:rPr>
                <w:rFonts w:cs="Arial"/>
                <w:color w:val="auto"/>
                <w:szCs w:val="20"/>
              </w:rPr>
              <w:t>Bangladesh</w:t>
            </w:r>
          </w:p>
        </w:tc>
        <w:tc>
          <w:tcPr>
            <w:tcW w:w="2835" w:type="dxa"/>
          </w:tcPr>
          <w:p w14:paraId="7E46741D" w14:textId="77777777" w:rsidR="00C01758" w:rsidRPr="00454100" w:rsidRDefault="00C01758" w:rsidP="00C01758">
            <w:pPr>
              <w:spacing w:before="120"/>
              <w:rPr>
                <w:rFonts w:cs="Arial"/>
                <w:color w:val="auto"/>
                <w:szCs w:val="20"/>
              </w:rPr>
            </w:pPr>
            <w:r w:rsidRPr="00454100">
              <w:rPr>
                <w:rFonts w:cs="Arial"/>
                <w:color w:val="auto"/>
                <w:szCs w:val="20"/>
              </w:rPr>
              <w:t>Forest Department</w:t>
            </w:r>
          </w:p>
        </w:tc>
        <w:tc>
          <w:tcPr>
            <w:tcW w:w="3402" w:type="dxa"/>
          </w:tcPr>
          <w:p w14:paraId="6FE1782A" w14:textId="77777777" w:rsidR="00C01758" w:rsidRPr="00454100" w:rsidRDefault="00C01758" w:rsidP="00C01758">
            <w:pPr>
              <w:spacing w:before="120"/>
              <w:rPr>
                <w:rFonts w:cs="Arial"/>
                <w:color w:val="auto"/>
                <w:szCs w:val="20"/>
              </w:rPr>
            </w:pPr>
            <w:r w:rsidRPr="00454100">
              <w:rPr>
                <w:rFonts w:cs="Arial"/>
                <w:color w:val="auto"/>
                <w:szCs w:val="20"/>
              </w:rPr>
              <w:t>Md. Jahidul Kabir</w:t>
            </w:r>
          </w:p>
        </w:tc>
        <w:tc>
          <w:tcPr>
            <w:tcW w:w="4854" w:type="dxa"/>
          </w:tcPr>
          <w:p w14:paraId="37CBD85F" w14:textId="77777777" w:rsidR="00C01758" w:rsidRPr="00454100" w:rsidRDefault="00C01758" w:rsidP="00C01758">
            <w:pPr>
              <w:spacing w:before="120"/>
              <w:rPr>
                <w:rFonts w:cs="Arial"/>
                <w:color w:val="auto"/>
                <w:szCs w:val="20"/>
              </w:rPr>
            </w:pPr>
            <w:r w:rsidRPr="00454100">
              <w:rPr>
                <w:rFonts w:cs="Arial"/>
                <w:color w:val="auto"/>
                <w:szCs w:val="20"/>
              </w:rPr>
              <w:t>DFO (CC), Wildlife &amp; Nature Conservation Division</w:t>
            </w:r>
          </w:p>
        </w:tc>
      </w:tr>
      <w:tr w:rsidR="00C01758" w:rsidRPr="00454100" w14:paraId="0A87B4B6" w14:textId="77777777" w:rsidTr="00C01758">
        <w:trPr>
          <w:trHeight w:val="285"/>
        </w:trPr>
        <w:tc>
          <w:tcPr>
            <w:tcW w:w="1809" w:type="dxa"/>
          </w:tcPr>
          <w:p w14:paraId="6E2FEA93" w14:textId="77777777" w:rsidR="00C01758" w:rsidRPr="00454100" w:rsidRDefault="00C01758" w:rsidP="00C01758">
            <w:pPr>
              <w:spacing w:before="120"/>
              <w:rPr>
                <w:rFonts w:cs="Arial"/>
                <w:color w:val="auto"/>
                <w:szCs w:val="20"/>
              </w:rPr>
            </w:pPr>
            <w:r w:rsidRPr="00454100">
              <w:rPr>
                <w:rFonts w:cs="Arial"/>
                <w:color w:val="auto"/>
                <w:szCs w:val="20"/>
              </w:rPr>
              <w:t>Bangladesh</w:t>
            </w:r>
          </w:p>
        </w:tc>
        <w:tc>
          <w:tcPr>
            <w:tcW w:w="2835" w:type="dxa"/>
          </w:tcPr>
          <w:p w14:paraId="3F46E8C9" w14:textId="77777777" w:rsidR="00C01758" w:rsidRPr="00454100" w:rsidRDefault="00C01758" w:rsidP="00C01758">
            <w:pPr>
              <w:spacing w:before="120"/>
              <w:rPr>
                <w:rFonts w:cs="Arial"/>
                <w:color w:val="auto"/>
                <w:szCs w:val="20"/>
              </w:rPr>
            </w:pPr>
            <w:r w:rsidRPr="00454100">
              <w:rPr>
                <w:rFonts w:cs="Arial"/>
                <w:color w:val="auto"/>
                <w:szCs w:val="20"/>
              </w:rPr>
              <w:t>Bangladesh Forestry Research Institute</w:t>
            </w:r>
          </w:p>
        </w:tc>
        <w:tc>
          <w:tcPr>
            <w:tcW w:w="3402" w:type="dxa"/>
          </w:tcPr>
          <w:p w14:paraId="1E5D49B4" w14:textId="77777777" w:rsidR="00C01758" w:rsidRPr="00454100" w:rsidRDefault="00C01758" w:rsidP="00C01758">
            <w:pPr>
              <w:spacing w:before="120"/>
              <w:rPr>
                <w:rFonts w:cs="Arial"/>
                <w:color w:val="auto"/>
                <w:szCs w:val="20"/>
              </w:rPr>
            </w:pPr>
            <w:r w:rsidRPr="00454100">
              <w:rPr>
                <w:rFonts w:cs="Arial"/>
                <w:color w:val="auto"/>
                <w:szCs w:val="20"/>
              </w:rPr>
              <w:t>Dr. Masudur Rahman</w:t>
            </w:r>
          </w:p>
        </w:tc>
        <w:tc>
          <w:tcPr>
            <w:tcW w:w="4854" w:type="dxa"/>
          </w:tcPr>
          <w:p w14:paraId="7BE13A54" w14:textId="77777777" w:rsidR="00C01758" w:rsidRPr="00454100" w:rsidRDefault="00C01758" w:rsidP="00C01758">
            <w:pPr>
              <w:spacing w:before="120"/>
              <w:rPr>
                <w:rFonts w:cs="Arial"/>
                <w:color w:val="auto"/>
                <w:szCs w:val="20"/>
              </w:rPr>
            </w:pPr>
            <w:r w:rsidRPr="00454100">
              <w:rPr>
                <w:rFonts w:cs="Arial"/>
                <w:color w:val="auto"/>
                <w:szCs w:val="20"/>
              </w:rPr>
              <w:t>Divisional Officer, Mangrove Silviculture</w:t>
            </w:r>
          </w:p>
        </w:tc>
      </w:tr>
      <w:tr w:rsidR="00C01758" w:rsidRPr="00454100" w14:paraId="6874EFBF" w14:textId="77777777" w:rsidTr="00C01758">
        <w:trPr>
          <w:trHeight w:val="285"/>
        </w:trPr>
        <w:tc>
          <w:tcPr>
            <w:tcW w:w="1809" w:type="dxa"/>
          </w:tcPr>
          <w:p w14:paraId="132C57E7" w14:textId="77777777" w:rsidR="00C01758" w:rsidRPr="00454100" w:rsidRDefault="00C01758" w:rsidP="00C01758">
            <w:pPr>
              <w:spacing w:before="120"/>
              <w:rPr>
                <w:rFonts w:cs="Arial"/>
                <w:color w:val="auto"/>
                <w:szCs w:val="20"/>
              </w:rPr>
            </w:pPr>
            <w:r w:rsidRPr="00454100">
              <w:rPr>
                <w:rFonts w:cs="Arial"/>
                <w:color w:val="auto"/>
                <w:szCs w:val="20"/>
              </w:rPr>
              <w:t>Bangladesh</w:t>
            </w:r>
          </w:p>
        </w:tc>
        <w:tc>
          <w:tcPr>
            <w:tcW w:w="2835" w:type="dxa"/>
          </w:tcPr>
          <w:p w14:paraId="2734EBB9" w14:textId="77777777" w:rsidR="00C01758" w:rsidRPr="00454100" w:rsidRDefault="00C01758" w:rsidP="00C01758">
            <w:pPr>
              <w:spacing w:before="120"/>
              <w:rPr>
                <w:rFonts w:cs="Arial"/>
                <w:color w:val="auto"/>
                <w:szCs w:val="20"/>
              </w:rPr>
            </w:pPr>
            <w:r w:rsidRPr="00454100">
              <w:rPr>
                <w:rFonts w:cs="Arial"/>
                <w:color w:val="auto"/>
                <w:szCs w:val="20"/>
              </w:rPr>
              <w:t>Department of Environment</w:t>
            </w:r>
          </w:p>
        </w:tc>
        <w:tc>
          <w:tcPr>
            <w:tcW w:w="3402" w:type="dxa"/>
          </w:tcPr>
          <w:p w14:paraId="3443D187" w14:textId="77777777" w:rsidR="00C01758" w:rsidRPr="00454100" w:rsidRDefault="00C01758" w:rsidP="00C01758">
            <w:pPr>
              <w:spacing w:before="120"/>
              <w:rPr>
                <w:rFonts w:cs="Arial"/>
                <w:color w:val="auto"/>
                <w:szCs w:val="20"/>
              </w:rPr>
            </w:pPr>
            <w:r w:rsidRPr="00454100">
              <w:rPr>
                <w:rFonts w:cs="Arial"/>
                <w:color w:val="auto"/>
                <w:szCs w:val="20"/>
              </w:rPr>
              <w:t>Mustafizur Rahman Akhand</w:t>
            </w:r>
          </w:p>
        </w:tc>
        <w:tc>
          <w:tcPr>
            <w:tcW w:w="4854" w:type="dxa"/>
          </w:tcPr>
          <w:p w14:paraId="28CA0029" w14:textId="77777777" w:rsidR="00C01758" w:rsidRPr="00454100" w:rsidRDefault="00C01758" w:rsidP="00C01758">
            <w:pPr>
              <w:spacing w:before="120"/>
              <w:rPr>
                <w:rFonts w:cs="Arial"/>
                <w:color w:val="auto"/>
                <w:szCs w:val="20"/>
              </w:rPr>
            </w:pPr>
            <w:r w:rsidRPr="00454100">
              <w:rPr>
                <w:rFonts w:cs="Arial"/>
                <w:color w:val="auto"/>
                <w:szCs w:val="20"/>
              </w:rPr>
              <w:t>Chemist</w:t>
            </w:r>
          </w:p>
        </w:tc>
      </w:tr>
      <w:tr w:rsidR="00C01758" w:rsidRPr="00454100" w14:paraId="4CA193D6" w14:textId="77777777" w:rsidTr="00C01758">
        <w:trPr>
          <w:trHeight w:val="285"/>
        </w:trPr>
        <w:tc>
          <w:tcPr>
            <w:tcW w:w="1809" w:type="dxa"/>
          </w:tcPr>
          <w:p w14:paraId="691E5DD5" w14:textId="77777777" w:rsidR="00C01758" w:rsidRPr="00454100" w:rsidRDefault="00C01758" w:rsidP="00C01758">
            <w:pPr>
              <w:spacing w:before="120"/>
              <w:rPr>
                <w:rFonts w:cs="Arial"/>
                <w:color w:val="auto"/>
                <w:szCs w:val="20"/>
              </w:rPr>
            </w:pPr>
            <w:r w:rsidRPr="00454100">
              <w:rPr>
                <w:rFonts w:cs="Arial"/>
                <w:color w:val="auto"/>
                <w:szCs w:val="20"/>
              </w:rPr>
              <w:t>Bangladesh</w:t>
            </w:r>
          </w:p>
        </w:tc>
        <w:tc>
          <w:tcPr>
            <w:tcW w:w="2835" w:type="dxa"/>
          </w:tcPr>
          <w:p w14:paraId="4D02A05A" w14:textId="77777777" w:rsidR="00C01758" w:rsidRPr="00454100" w:rsidRDefault="00C01758" w:rsidP="00C01758">
            <w:pPr>
              <w:spacing w:before="120"/>
              <w:rPr>
                <w:rFonts w:cs="Arial"/>
                <w:color w:val="auto"/>
                <w:szCs w:val="20"/>
              </w:rPr>
            </w:pPr>
            <w:r w:rsidRPr="00454100">
              <w:rPr>
                <w:rFonts w:cs="Arial"/>
                <w:color w:val="auto"/>
                <w:szCs w:val="20"/>
              </w:rPr>
              <w:t>Department of Environment</w:t>
            </w:r>
          </w:p>
        </w:tc>
        <w:tc>
          <w:tcPr>
            <w:tcW w:w="3402" w:type="dxa"/>
          </w:tcPr>
          <w:p w14:paraId="78CE6CB7" w14:textId="77777777" w:rsidR="00C01758" w:rsidRPr="00454100" w:rsidRDefault="00C01758" w:rsidP="00C01758">
            <w:pPr>
              <w:spacing w:before="120"/>
              <w:rPr>
                <w:rFonts w:cs="Arial"/>
                <w:color w:val="auto"/>
                <w:szCs w:val="20"/>
              </w:rPr>
            </w:pPr>
            <w:r w:rsidRPr="00454100">
              <w:rPr>
                <w:rFonts w:cs="Arial"/>
                <w:color w:val="auto"/>
                <w:szCs w:val="20"/>
              </w:rPr>
              <w:t>Solaiman Haider</w:t>
            </w:r>
          </w:p>
        </w:tc>
        <w:tc>
          <w:tcPr>
            <w:tcW w:w="4854" w:type="dxa"/>
          </w:tcPr>
          <w:p w14:paraId="222DA863" w14:textId="77777777" w:rsidR="00C01758" w:rsidRPr="00454100" w:rsidRDefault="00C01758" w:rsidP="00C01758">
            <w:pPr>
              <w:spacing w:before="120"/>
              <w:rPr>
                <w:rFonts w:cs="Arial"/>
                <w:color w:val="auto"/>
                <w:szCs w:val="20"/>
              </w:rPr>
            </w:pPr>
            <w:r w:rsidRPr="00454100">
              <w:rPr>
                <w:rFonts w:cs="Arial"/>
                <w:color w:val="auto"/>
                <w:szCs w:val="20"/>
              </w:rPr>
              <w:t>Deputy Director</w:t>
            </w:r>
          </w:p>
        </w:tc>
      </w:tr>
      <w:tr w:rsidR="00C01758" w:rsidRPr="00454100" w14:paraId="7C9B5D83" w14:textId="77777777" w:rsidTr="00C01758">
        <w:trPr>
          <w:trHeight w:val="261"/>
        </w:trPr>
        <w:tc>
          <w:tcPr>
            <w:tcW w:w="1809" w:type="dxa"/>
          </w:tcPr>
          <w:p w14:paraId="6DB16995" w14:textId="77777777" w:rsidR="00C01758" w:rsidRPr="00454100" w:rsidRDefault="00C01758" w:rsidP="00C01758">
            <w:pPr>
              <w:spacing w:before="120"/>
              <w:rPr>
                <w:rFonts w:cs="Arial"/>
                <w:color w:val="auto"/>
                <w:szCs w:val="20"/>
              </w:rPr>
            </w:pPr>
            <w:r w:rsidRPr="00454100">
              <w:rPr>
                <w:rFonts w:cs="Arial"/>
                <w:color w:val="auto"/>
                <w:szCs w:val="20"/>
              </w:rPr>
              <w:t>France</w:t>
            </w:r>
          </w:p>
        </w:tc>
        <w:tc>
          <w:tcPr>
            <w:tcW w:w="2835" w:type="dxa"/>
          </w:tcPr>
          <w:p w14:paraId="4A2C6819" w14:textId="77777777" w:rsidR="00C01758" w:rsidRPr="00454100" w:rsidRDefault="00C01758" w:rsidP="00C01758">
            <w:pPr>
              <w:spacing w:before="120"/>
              <w:rPr>
                <w:rFonts w:cs="Arial"/>
                <w:color w:val="auto"/>
                <w:szCs w:val="20"/>
              </w:rPr>
            </w:pPr>
            <w:r w:rsidRPr="00454100">
              <w:rPr>
                <w:rFonts w:cs="Arial"/>
                <w:color w:val="auto"/>
                <w:szCs w:val="20"/>
              </w:rPr>
              <w:t>CEDRE, supported by the European Union Emergency Response Coordination Centre through the Civil Protection Mechanism</w:t>
            </w:r>
          </w:p>
        </w:tc>
        <w:tc>
          <w:tcPr>
            <w:tcW w:w="3402" w:type="dxa"/>
          </w:tcPr>
          <w:p w14:paraId="24A2615F" w14:textId="77777777" w:rsidR="00C01758" w:rsidRPr="00454100" w:rsidRDefault="00C01758" w:rsidP="00C01758">
            <w:pPr>
              <w:spacing w:before="120"/>
              <w:rPr>
                <w:rFonts w:cs="Arial"/>
                <w:color w:val="auto"/>
                <w:szCs w:val="20"/>
              </w:rPr>
            </w:pPr>
            <w:r w:rsidRPr="00454100">
              <w:rPr>
                <w:rFonts w:cs="Arial"/>
                <w:color w:val="auto"/>
                <w:szCs w:val="20"/>
              </w:rPr>
              <w:t>Stephane le Floch</w:t>
            </w:r>
          </w:p>
        </w:tc>
        <w:tc>
          <w:tcPr>
            <w:tcW w:w="4854" w:type="dxa"/>
          </w:tcPr>
          <w:p w14:paraId="047E4EA2" w14:textId="77777777" w:rsidR="00C01758" w:rsidRPr="00454100" w:rsidRDefault="00C01758" w:rsidP="00C01758">
            <w:pPr>
              <w:spacing w:before="120"/>
              <w:rPr>
                <w:rFonts w:cs="Arial"/>
                <w:color w:val="auto"/>
                <w:szCs w:val="20"/>
              </w:rPr>
            </w:pPr>
            <w:r w:rsidRPr="00454100">
              <w:rPr>
                <w:rFonts w:cs="Arial"/>
                <w:color w:val="auto"/>
                <w:szCs w:val="20"/>
              </w:rPr>
              <w:t>Oil spill intervention expert, Extent Sub-Team Leader</w:t>
            </w:r>
          </w:p>
        </w:tc>
      </w:tr>
      <w:tr w:rsidR="00C01758" w:rsidRPr="00454100" w14:paraId="70680C99" w14:textId="77777777" w:rsidTr="00C01758">
        <w:trPr>
          <w:trHeight w:val="279"/>
        </w:trPr>
        <w:tc>
          <w:tcPr>
            <w:tcW w:w="1809" w:type="dxa"/>
          </w:tcPr>
          <w:p w14:paraId="6F5F616C" w14:textId="77777777" w:rsidR="00C01758" w:rsidRPr="00454100" w:rsidRDefault="00C01758" w:rsidP="00C01758">
            <w:pPr>
              <w:spacing w:before="120"/>
              <w:rPr>
                <w:rFonts w:cs="Arial"/>
                <w:color w:val="auto"/>
                <w:szCs w:val="20"/>
              </w:rPr>
            </w:pPr>
            <w:r w:rsidRPr="00454100">
              <w:rPr>
                <w:rFonts w:cs="Arial"/>
                <w:color w:val="auto"/>
                <w:szCs w:val="20"/>
              </w:rPr>
              <w:t>USA</w:t>
            </w:r>
          </w:p>
        </w:tc>
        <w:tc>
          <w:tcPr>
            <w:tcW w:w="2835" w:type="dxa"/>
          </w:tcPr>
          <w:p w14:paraId="39296FBC" w14:textId="77777777" w:rsidR="00C01758" w:rsidRPr="00454100" w:rsidRDefault="00C01758" w:rsidP="00C01758">
            <w:pPr>
              <w:spacing w:before="120"/>
              <w:rPr>
                <w:rFonts w:cs="Arial"/>
                <w:color w:val="auto"/>
                <w:szCs w:val="20"/>
              </w:rPr>
            </w:pPr>
            <w:r w:rsidRPr="00454100">
              <w:rPr>
                <w:rFonts w:cs="Arial"/>
                <w:color w:val="auto"/>
                <w:szCs w:val="20"/>
              </w:rPr>
              <w:t>National Oceanic and Atmospheric Administration</w:t>
            </w:r>
          </w:p>
        </w:tc>
        <w:tc>
          <w:tcPr>
            <w:tcW w:w="3402" w:type="dxa"/>
          </w:tcPr>
          <w:p w14:paraId="05B050BF" w14:textId="77777777" w:rsidR="00C01758" w:rsidRPr="00454100" w:rsidRDefault="00C01758" w:rsidP="00C01758">
            <w:pPr>
              <w:spacing w:before="120"/>
              <w:rPr>
                <w:rFonts w:cs="Arial"/>
                <w:color w:val="auto"/>
                <w:szCs w:val="20"/>
              </w:rPr>
            </w:pPr>
            <w:r w:rsidRPr="00454100">
              <w:rPr>
                <w:rFonts w:cs="Arial"/>
                <w:color w:val="auto"/>
                <w:szCs w:val="20"/>
              </w:rPr>
              <w:t>Gary Shigenaka</w:t>
            </w:r>
          </w:p>
        </w:tc>
        <w:tc>
          <w:tcPr>
            <w:tcW w:w="4854" w:type="dxa"/>
          </w:tcPr>
          <w:p w14:paraId="581673DF" w14:textId="77777777" w:rsidR="00C01758" w:rsidRPr="00454100" w:rsidRDefault="00C01758" w:rsidP="00C01758">
            <w:pPr>
              <w:spacing w:before="120"/>
              <w:rPr>
                <w:rFonts w:cs="Arial"/>
                <w:color w:val="auto"/>
                <w:szCs w:val="20"/>
              </w:rPr>
            </w:pPr>
            <w:r w:rsidRPr="00454100">
              <w:rPr>
                <w:rFonts w:cs="Arial"/>
                <w:color w:val="auto"/>
                <w:szCs w:val="20"/>
              </w:rPr>
              <w:t>Biologist/ chemical expert, Mangrove Sub-Team Leader</w:t>
            </w:r>
          </w:p>
        </w:tc>
      </w:tr>
      <w:tr w:rsidR="00C01758" w:rsidRPr="00454100" w14:paraId="128DA2F8" w14:textId="77777777" w:rsidTr="00C01758">
        <w:trPr>
          <w:trHeight w:val="566"/>
        </w:trPr>
        <w:tc>
          <w:tcPr>
            <w:tcW w:w="1809" w:type="dxa"/>
          </w:tcPr>
          <w:p w14:paraId="62B83A92" w14:textId="77777777" w:rsidR="00C01758" w:rsidRPr="00454100" w:rsidRDefault="00C01758" w:rsidP="00C01758">
            <w:pPr>
              <w:spacing w:before="120"/>
              <w:rPr>
                <w:rFonts w:cs="Arial"/>
                <w:color w:val="auto"/>
                <w:szCs w:val="20"/>
              </w:rPr>
            </w:pPr>
            <w:r w:rsidRPr="00454100">
              <w:rPr>
                <w:rFonts w:cs="Arial"/>
                <w:color w:val="auto"/>
                <w:szCs w:val="20"/>
              </w:rPr>
              <w:t>USA</w:t>
            </w:r>
          </w:p>
        </w:tc>
        <w:tc>
          <w:tcPr>
            <w:tcW w:w="2835" w:type="dxa"/>
          </w:tcPr>
          <w:p w14:paraId="50ABEFF2" w14:textId="77777777" w:rsidR="00C01758" w:rsidRPr="00454100" w:rsidRDefault="00C01758" w:rsidP="00C01758">
            <w:pPr>
              <w:spacing w:before="120"/>
              <w:rPr>
                <w:rFonts w:cs="Arial"/>
                <w:color w:val="auto"/>
                <w:szCs w:val="20"/>
              </w:rPr>
            </w:pPr>
            <w:r w:rsidRPr="00454100">
              <w:rPr>
                <w:rFonts w:cs="Arial"/>
                <w:color w:val="auto"/>
                <w:szCs w:val="20"/>
              </w:rPr>
              <w:t>UC Davis</w:t>
            </w:r>
          </w:p>
        </w:tc>
        <w:tc>
          <w:tcPr>
            <w:tcW w:w="3402" w:type="dxa"/>
          </w:tcPr>
          <w:p w14:paraId="6F20E8E2" w14:textId="77777777" w:rsidR="00C01758" w:rsidRPr="00454100" w:rsidRDefault="00C01758" w:rsidP="00C01758">
            <w:pPr>
              <w:spacing w:before="120"/>
              <w:rPr>
                <w:rFonts w:cs="Arial"/>
                <w:color w:val="auto"/>
                <w:szCs w:val="20"/>
              </w:rPr>
            </w:pPr>
            <w:r w:rsidRPr="00454100">
              <w:rPr>
                <w:rFonts w:cs="Arial"/>
                <w:color w:val="auto"/>
                <w:szCs w:val="20"/>
              </w:rPr>
              <w:t>Prof. Michael Ziccardi</w:t>
            </w:r>
          </w:p>
        </w:tc>
        <w:tc>
          <w:tcPr>
            <w:tcW w:w="4854" w:type="dxa"/>
          </w:tcPr>
          <w:p w14:paraId="5C931B5D" w14:textId="77777777" w:rsidR="00C01758" w:rsidRPr="00454100" w:rsidRDefault="00C01758" w:rsidP="00C01758">
            <w:pPr>
              <w:spacing w:before="120"/>
              <w:rPr>
                <w:rFonts w:cs="Arial"/>
                <w:color w:val="auto"/>
                <w:szCs w:val="20"/>
              </w:rPr>
            </w:pPr>
            <w:r w:rsidRPr="00454100">
              <w:rPr>
                <w:rFonts w:cs="Arial"/>
                <w:color w:val="auto"/>
                <w:szCs w:val="20"/>
              </w:rPr>
              <w:t>Oil spill intervention/ wildlife expert, Wildlife Sub-Team Leader</w:t>
            </w:r>
          </w:p>
        </w:tc>
      </w:tr>
      <w:tr w:rsidR="00C01758" w:rsidRPr="00454100" w14:paraId="6A67D237" w14:textId="77777777" w:rsidTr="00C01758">
        <w:trPr>
          <w:trHeight w:val="264"/>
        </w:trPr>
        <w:tc>
          <w:tcPr>
            <w:tcW w:w="1809" w:type="dxa"/>
          </w:tcPr>
          <w:p w14:paraId="5EB1B1F3" w14:textId="77777777" w:rsidR="00C01758" w:rsidRPr="00454100" w:rsidRDefault="00C01758" w:rsidP="00C01758">
            <w:pPr>
              <w:spacing w:before="120"/>
              <w:rPr>
                <w:rFonts w:cs="Arial"/>
                <w:color w:val="auto"/>
                <w:szCs w:val="20"/>
              </w:rPr>
            </w:pPr>
            <w:r w:rsidRPr="00454100">
              <w:rPr>
                <w:rFonts w:cs="Arial"/>
                <w:color w:val="auto"/>
                <w:szCs w:val="20"/>
              </w:rPr>
              <w:t>USA</w:t>
            </w:r>
          </w:p>
        </w:tc>
        <w:tc>
          <w:tcPr>
            <w:tcW w:w="2835" w:type="dxa"/>
          </w:tcPr>
          <w:p w14:paraId="62049769" w14:textId="77777777" w:rsidR="00C01758" w:rsidRPr="00454100" w:rsidRDefault="00C01758" w:rsidP="00C01758">
            <w:pPr>
              <w:spacing w:before="120"/>
              <w:rPr>
                <w:rFonts w:cs="Arial"/>
                <w:color w:val="auto"/>
                <w:szCs w:val="20"/>
              </w:rPr>
            </w:pPr>
            <w:r w:rsidRPr="00454100">
              <w:rPr>
                <w:rFonts w:cs="Arial"/>
                <w:color w:val="auto"/>
                <w:szCs w:val="20"/>
              </w:rPr>
              <w:t>US Coast Guard</w:t>
            </w:r>
          </w:p>
        </w:tc>
        <w:tc>
          <w:tcPr>
            <w:tcW w:w="3402" w:type="dxa"/>
          </w:tcPr>
          <w:p w14:paraId="653172B4" w14:textId="77777777" w:rsidR="00C01758" w:rsidRPr="00454100" w:rsidRDefault="00C01758" w:rsidP="00C01758">
            <w:pPr>
              <w:spacing w:before="120"/>
              <w:rPr>
                <w:rFonts w:cs="Arial"/>
                <w:color w:val="auto"/>
                <w:szCs w:val="20"/>
              </w:rPr>
            </w:pPr>
            <w:r w:rsidRPr="00454100">
              <w:rPr>
                <w:rFonts w:cs="Arial"/>
                <w:color w:val="auto"/>
                <w:szCs w:val="20"/>
              </w:rPr>
              <w:t>CDR Keith Donohue</w:t>
            </w:r>
          </w:p>
        </w:tc>
        <w:tc>
          <w:tcPr>
            <w:tcW w:w="4854" w:type="dxa"/>
          </w:tcPr>
          <w:p w14:paraId="350A623F" w14:textId="77777777" w:rsidR="00C01758" w:rsidRPr="00454100" w:rsidRDefault="00C01758" w:rsidP="00C01758">
            <w:pPr>
              <w:spacing w:before="120"/>
              <w:rPr>
                <w:rFonts w:cs="Arial"/>
                <w:color w:val="auto"/>
                <w:szCs w:val="20"/>
              </w:rPr>
            </w:pPr>
            <w:r w:rsidRPr="00454100">
              <w:rPr>
                <w:rFonts w:cs="Arial"/>
                <w:color w:val="auto"/>
                <w:szCs w:val="20"/>
              </w:rPr>
              <w:t>Oil spill response expert</w:t>
            </w:r>
          </w:p>
        </w:tc>
      </w:tr>
      <w:tr w:rsidR="00C01758" w:rsidRPr="00454100" w14:paraId="01479F2F" w14:textId="77777777" w:rsidTr="00C01758">
        <w:trPr>
          <w:trHeight w:val="281"/>
        </w:trPr>
        <w:tc>
          <w:tcPr>
            <w:tcW w:w="1809" w:type="dxa"/>
          </w:tcPr>
          <w:p w14:paraId="2BF88530" w14:textId="77777777" w:rsidR="00C01758" w:rsidRPr="00454100" w:rsidRDefault="00C01758" w:rsidP="00C01758">
            <w:pPr>
              <w:spacing w:before="120"/>
              <w:rPr>
                <w:rFonts w:cs="Arial"/>
                <w:color w:val="auto"/>
                <w:szCs w:val="20"/>
              </w:rPr>
            </w:pPr>
            <w:r w:rsidRPr="00454100">
              <w:rPr>
                <w:rFonts w:cs="Arial"/>
                <w:color w:val="auto"/>
                <w:szCs w:val="20"/>
              </w:rPr>
              <w:t>USA</w:t>
            </w:r>
          </w:p>
        </w:tc>
        <w:tc>
          <w:tcPr>
            <w:tcW w:w="2835" w:type="dxa"/>
          </w:tcPr>
          <w:p w14:paraId="781A49EA" w14:textId="77777777" w:rsidR="00C01758" w:rsidRPr="00454100" w:rsidRDefault="00C01758" w:rsidP="00C01758">
            <w:pPr>
              <w:spacing w:before="120"/>
              <w:rPr>
                <w:rFonts w:cs="Arial"/>
                <w:color w:val="auto"/>
                <w:szCs w:val="20"/>
              </w:rPr>
            </w:pPr>
            <w:r w:rsidRPr="00454100">
              <w:rPr>
                <w:rFonts w:cs="Arial"/>
                <w:color w:val="auto"/>
                <w:szCs w:val="20"/>
              </w:rPr>
              <w:t>USAID/Bangladesh</w:t>
            </w:r>
          </w:p>
        </w:tc>
        <w:tc>
          <w:tcPr>
            <w:tcW w:w="3402" w:type="dxa"/>
          </w:tcPr>
          <w:p w14:paraId="2392A127" w14:textId="77777777" w:rsidR="00C01758" w:rsidRPr="00454100" w:rsidRDefault="00C01758" w:rsidP="00C01758">
            <w:pPr>
              <w:spacing w:before="120"/>
              <w:rPr>
                <w:rFonts w:cs="Arial"/>
                <w:color w:val="auto"/>
                <w:szCs w:val="20"/>
              </w:rPr>
            </w:pPr>
            <w:r w:rsidRPr="00454100">
              <w:rPr>
                <w:rFonts w:cs="Arial"/>
                <w:color w:val="auto"/>
                <w:szCs w:val="20"/>
              </w:rPr>
              <w:t>Colin Holmes</w:t>
            </w:r>
          </w:p>
        </w:tc>
        <w:tc>
          <w:tcPr>
            <w:tcW w:w="4854" w:type="dxa"/>
          </w:tcPr>
          <w:p w14:paraId="4B3D147B" w14:textId="77777777" w:rsidR="00C01758" w:rsidRPr="00454100" w:rsidRDefault="00C01758" w:rsidP="00C01758">
            <w:pPr>
              <w:spacing w:before="120"/>
              <w:rPr>
                <w:rFonts w:cs="Arial"/>
                <w:color w:val="auto"/>
                <w:szCs w:val="20"/>
              </w:rPr>
            </w:pPr>
            <w:r w:rsidRPr="00454100">
              <w:rPr>
                <w:rFonts w:cs="Arial"/>
                <w:color w:val="auto"/>
                <w:szCs w:val="20"/>
              </w:rPr>
              <w:t>Environmental Assessment, Information Management</w:t>
            </w:r>
          </w:p>
        </w:tc>
      </w:tr>
      <w:tr w:rsidR="00C01758" w:rsidRPr="00454100" w14:paraId="2B9076EB" w14:textId="77777777" w:rsidTr="00C01758">
        <w:trPr>
          <w:trHeight w:val="270"/>
        </w:trPr>
        <w:tc>
          <w:tcPr>
            <w:tcW w:w="1809" w:type="dxa"/>
          </w:tcPr>
          <w:p w14:paraId="33B28227" w14:textId="77777777" w:rsidR="00C01758" w:rsidRPr="00454100" w:rsidRDefault="00C01758" w:rsidP="00C01758">
            <w:pPr>
              <w:spacing w:before="120"/>
              <w:rPr>
                <w:rFonts w:cs="Arial"/>
                <w:color w:val="auto"/>
                <w:szCs w:val="20"/>
              </w:rPr>
            </w:pPr>
            <w:r w:rsidRPr="00454100">
              <w:rPr>
                <w:rFonts w:cs="Arial"/>
                <w:color w:val="auto"/>
                <w:szCs w:val="20"/>
              </w:rPr>
              <w:t xml:space="preserve">Canada </w:t>
            </w:r>
          </w:p>
        </w:tc>
        <w:tc>
          <w:tcPr>
            <w:tcW w:w="2835" w:type="dxa"/>
          </w:tcPr>
          <w:p w14:paraId="6237CEDC" w14:textId="77777777" w:rsidR="00C01758" w:rsidRPr="00454100" w:rsidRDefault="00C01758" w:rsidP="00C01758">
            <w:pPr>
              <w:spacing w:before="120"/>
              <w:rPr>
                <w:rFonts w:cs="Arial"/>
                <w:color w:val="auto"/>
                <w:szCs w:val="20"/>
              </w:rPr>
            </w:pPr>
            <w:r w:rsidRPr="00454100">
              <w:rPr>
                <w:rFonts w:cs="Arial"/>
                <w:color w:val="auto"/>
                <w:szCs w:val="20"/>
              </w:rPr>
              <w:t>UNDP consultant</w:t>
            </w:r>
          </w:p>
        </w:tc>
        <w:tc>
          <w:tcPr>
            <w:tcW w:w="3402" w:type="dxa"/>
          </w:tcPr>
          <w:p w14:paraId="1207B836" w14:textId="77777777" w:rsidR="00C01758" w:rsidRPr="00454100" w:rsidRDefault="00C01758" w:rsidP="00C01758">
            <w:pPr>
              <w:spacing w:before="120"/>
              <w:rPr>
                <w:rFonts w:cs="Arial"/>
                <w:color w:val="auto"/>
                <w:szCs w:val="20"/>
              </w:rPr>
            </w:pPr>
            <w:r w:rsidRPr="00454100">
              <w:rPr>
                <w:rFonts w:cs="Arial"/>
                <w:color w:val="auto"/>
                <w:szCs w:val="20"/>
              </w:rPr>
              <w:t>Ryan Wheeler</w:t>
            </w:r>
          </w:p>
        </w:tc>
        <w:tc>
          <w:tcPr>
            <w:tcW w:w="4854" w:type="dxa"/>
          </w:tcPr>
          <w:p w14:paraId="4D32A929" w14:textId="77777777" w:rsidR="00C01758" w:rsidRPr="00454100" w:rsidRDefault="00C01758" w:rsidP="00C01758">
            <w:pPr>
              <w:spacing w:before="120"/>
              <w:rPr>
                <w:rFonts w:cs="Arial"/>
                <w:color w:val="auto"/>
                <w:szCs w:val="20"/>
              </w:rPr>
            </w:pPr>
            <w:r w:rsidRPr="00454100">
              <w:rPr>
                <w:rFonts w:cs="Arial"/>
                <w:color w:val="auto"/>
                <w:szCs w:val="20"/>
              </w:rPr>
              <w:t>Oil spill intervention expert, Clean-up and Response Sub-Team Leader</w:t>
            </w:r>
          </w:p>
        </w:tc>
      </w:tr>
      <w:tr w:rsidR="00C01758" w:rsidRPr="00454100" w14:paraId="2751421A" w14:textId="77777777" w:rsidTr="00C01758">
        <w:trPr>
          <w:trHeight w:val="281"/>
        </w:trPr>
        <w:tc>
          <w:tcPr>
            <w:tcW w:w="1809" w:type="dxa"/>
          </w:tcPr>
          <w:p w14:paraId="602ED3DC" w14:textId="77777777" w:rsidR="00C01758" w:rsidRPr="00454100" w:rsidRDefault="00C01758" w:rsidP="00C01758">
            <w:pPr>
              <w:spacing w:before="120"/>
              <w:rPr>
                <w:rFonts w:cs="Arial"/>
                <w:color w:val="auto"/>
                <w:szCs w:val="20"/>
              </w:rPr>
            </w:pPr>
            <w:r w:rsidRPr="00454100">
              <w:rPr>
                <w:rFonts w:cs="Arial"/>
                <w:color w:val="auto"/>
                <w:szCs w:val="20"/>
              </w:rPr>
              <w:t>Bangladesh</w:t>
            </w:r>
          </w:p>
        </w:tc>
        <w:tc>
          <w:tcPr>
            <w:tcW w:w="2835" w:type="dxa"/>
          </w:tcPr>
          <w:p w14:paraId="7F828B7D" w14:textId="77777777" w:rsidR="00C01758" w:rsidRPr="00454100" w:rsidRDefault="00C01758" w:rsidP="00C01758">
            <w:pPr>
              <w:spacing w:before="120"/>
              <w:rPr>
                <w:rFonts w:cs="Arial"/>
                <w:color w:val="auto"/>
                <w:szCs w:val="20"/>
              </w:rPr>
            </w:pPr>
            <w:r w:rsidRPr="00454100">
              <w:rPr>
                <w:rFonts w:cs="Arial"/>
                <w:color w:val="auto"/>
                <w:szCs w:val="20"/>
              </w:rPr>
              <w:t>Chittagong University</w:t>
            </w:r>
          </w:p>
        </w:tc>
        <w:tc>
          <w:tcPr>
            <w:tcW w:w="3402" w:type="dxa"/>
          </w:tcPr>
          <w:p w14:paraId="4E2E422E" w14:textId="77777777" w:rsidR="00C01758" w:rsidRPr="00454100" w:rsidRDefault="00C01758" w:rsidP="00C01758">
            <w:pPr>
              <w:spacing w:before="120"/>
              <w:rPr>
                <w:rFonts w:cs="Arial"/>
                <w:color w:val="auto"/>
                <w:szCs w:val="20"/>
              </w:rPr>
            </w:pPr>
            <w:r w:rsidRPr="00454100">
              <w:rPr>
                <w:rFonts w:cs="Arial"/>
                <w:color w:val="auto"/>
                <w:szCs w:val="20"/>
              </w:rPr>
              <w:t>Prof. Shahadat Hossain</w:t>
            </w:r>
          </w:p>
        </w:tc>
        <w:tc>
          <w:tcPr>
            <w:tcW w:w="4854" w:type="dxa"/>
          </w:tcPr>
          <w:p w14:paraId="5FADBDA5" w14:textId="77777777" w:rsidR="00C01758" w:rsidRPr="00454100" w:rsidRDefault="00C01758" w:rsidP="00C01758">
            <w:pPr>
              <w:spacing w:before="120"/>
              <w:rPr>
                <w:rFonts w:cs="Arial"/>
                <w:color w:val="auto"/>
                <w:szCs w:val="20"/>
              </w:rPr>
            </w:pPr>
            <w:r w:rsidRPr="00454100">
              <w:rPr>
                <w:rFonts w:cs="Arial"/>
                <w:color w:val="auto"/>
                <w:szCs w:val="20"/>
              </w:rPr>
              <w:t>Marine ecosystems, Aquatic Sub-Team Leader</w:t>
            </w:r>
          </w:p>
        </w:tc>
      </w:tr>
      <w:tr w:rsidR="00C01758" w:rsidRPr="00454100" w14:paraId="1880A8AC" w14:textId="77777777" w:rsidTr="00C01758">
        <w:trPr>
          <w:trHeight w:val="271"/>
        </w:trPr>
        <w:tc>
          <w:tcPr>
            <w:tcW w:w="1809" w:type="dxa"/>
          </w:tcPr>
          <w:p w14:paraId="7361AD25" w14:textId="77777777" w:rsidR="00C01758" w:rsidRPr="00454100" w:rsidRDefault="00C01758" w:rsidP="00C01758">
            <w:pPr>
              <w:spacing w:before="120"/>
              <w:rPr>
                <w:rFonts w:cs="Arial"/>
                <w:color w:val="auto"/>
                <w:szCs w:val="20"/>
              </w:rPr>
            </w:pPr>
            <w:r w:rsidRPr="00454100">
              <w:rPr>
                <w:rFonts w:cs="Arial"/>
                <w:color w:val="auto"/>
                <w:szCs w:val="20"/>
              </w:rPr>
              <w:t>Bangladesh</w:t>
            </w:r>
          </w:p>
        </w:tc>
        <w:tc>
          <w:tcPr>
            <w:tcW w:w="2835" w:type="dxa"/>
          </w:tcPr>
          <w:p w14:paraId="053C4C25" w14:textId="77777777" w:rsidR="00C01758" w:rsidRPr="00454100" w:rsidRDefault="00C01758" w:rsidP="00C01758">
            <w:pPr>
              <w:spacing w:before="120"/>
              <w:rPr>
                <w:rFonts w:cs="Arial"/>
                <w:color w:val="auto"/>
                <w:szCs w:val="20"/>
              </w:rPr>
            </w:pPr>
            <w:r w:rsidRPr="00454100">
              <w:rPr>
                <w:rFonts w:cs="Arial"/>
                <w:color w:val="auto"/>
                <w:szCs w:val="20"/>
              </w:rPr>
              <w:t xml:space="preserve">Chittagong University </w:t>
            </w:r>
          </w:p>
        </w:tc>
        <w:tc>
          <w:tcPr>
            <w:tcW w:w="3402" w:type="dxa"/>
          </w:tcPr>
          <w:p w14:paraId="7541E9E6" w14:textId="77777777" w:rsidR="00C01758" w:rsidRPr="00454100" w:rsidRDefault="00C01758" w:rsidP="00C01758">
            <w:pPr>
              <w:spacing w:before="120"/>
              <w:rPr>
                <w:rFonts w:cs="Arial"/>
                <w:color w:val="auto"/>
                <w:szCs w:val="20"/>
              </w:rPr>
            </w:pPr>
            <w:r w:rsidRPr="00454100">
              <w:rPr>
                <w:rFonts w:cs="Arial"/>
                <w:color w:val="auto"/>
                <w:szCs w:val="20"/>
              </w:rPr>
              <w:t>Prof. Sayedur Rahman Chowdhury</w:t>
            </w:r>
          </w:p>
        </w:tc>
        <w:tc>
          <w:tcPr>
            <w:tcW w:w="4854" w:type="dxa"/>
          </w:tcPr>
          <w:p w14:paraId="7CB7212D" w14:textId="77777777" w:rsidR="00C01758" w:rsidRPr="00454100" w:rsidRDefault="00C01758" w:rsidP="00C01758">
            <w:pPr>
              <w:spacing w:before="120"/>
              <w:rPr>
                <w:rFonts w:cs="Arial"/>
                <w:color w:val="auto"/>
                <w:szCs w:val="20"/>
              </w:rPr>
            </w:pPr>
            <w:r w:rsidRPr="00454100">
              <w:rPr>
                <w:rFonts w:cs="Arial"/>
                <w:color w:val="auto"/>
                <w:szCs w:val="20"/>
              </w:rPr>
              <w:t>Geo-spatial expert (extent)</w:t>
            </w:r>
          </w:p>
        </w:tc>
      </w:tr>
      <w:tr w:rsidR="00C01758" w:rsidRPr="00454100" w14:paraId="1F121D7D" w14:textId="77777777" w:rsidTr="00C01758">
        <w:trPr>
          <w:trHeight w:val="262"/>
        </w:trPr>
        <w:tc>
          <w:tcPr>
            <w:tcW w:w="1809" w:type="dxa"/>
          </w:tcPr>
          <w:p w14:paraId="1AD38290" w14:textId="77777777" w:rsidR="00C01758" w:rsidRPr="00454100" w:rsidRDefault="00C01758" w:rsidP="00C01758">
            <w:pPr>
              <w:spacing w:before="120"/>
              <w:rPr>
                <w:rFonts w:cs="Arial"/>
                <w:color w:val="auto"/>
                <w:szCs w:val="20"/>
              </w:rPr>
            </w:pPr>
            <w:r w:rsidRPr="00454100">
              <w:rPr>
                <w:rFonts w:cs="Arial"/>
                <w:color w:val="auto"/>
                <w:szCs w:val="20"/>
              </w:rPr>
              <w:t>Bangladesh</w:t>
            </w:r>
          </w:p>
        </w:tc>
        <w:tc>
          <w:tcPr>
            <w:tcW w:w="2835" w:type="dxa"/>
          </w:tcPr>
          <w:p w14:paraId="3F448B01" w14:textId="77777777" w:rsidR="00C01758" w:rsidRPr="00454100" w:rsidRDefault="00C01758" w:rsidP="00C01758">
            <w:pPr>
              <w:spacing w:before="120"/>
              <w:rPr>
                <w:rFonts w:cs="Arial"/>
                <w:color w:val="auto"/>
                <w:szCs w:val="20"/>
              </w:rPr>
            </w:pPr>
            <w:r w:rsidRPr="00454100">
              <w:rPr>
                <w:rFonts w:cs="Arial"/>
                <w:color w:val="auto"/>
                <w:szCs w:val="20"/>
              </w:rPr>
              <w:t>Khulna University</w:t>
            </w:r>
          </w:p>
        </w:tc>
        <w:tc>
          <w:tcPr>
            <w:tcW w:w="3402" w:type="dxa"/>
          </w:tcPr>
          <w:p w14:paraId="43958426" w14:textId="77777777" w:rsidR="00C01758" w:rsidRPr="00454100" w:rsidRDefault="00C01758" w:rsidP="00C01758">
            <w:pPr>
              <w:spacing w:before="120"/>
              <w:rPr>
                <w:rFonts w:cs="Arial"/>
                <w:color w:val="auto"/>
                <w:szCs w:val="20"/>
              </w:rPr>
            </w:pPr>
            <w:r w:rsidRPr="00454100">
              <w:rPr>
                <w:rFonts w:cs="Arial"/>
                <w:color w:val="auto"/>
                <w:szCs w:val="20"/>
              </w:rPr>
              <w:t>Dr. Khandaker Anisul Huq</w:t>
            </w:r>
          </w:p>
        </w:tc>
        <w:tc>
          <w:tcPr>
            <w:tcW w:w="4854" w:type="dxa"/>
          </w:tcPr>
          <w:p w14:paraId="59FB7707" w14:textId="77777777" w:rsidR="00C01758" w:rsidRPr="00454100" w:rsidRDefault="00C01758" w:rsidP="00C01758">
            <w:pPr>
              <w:spacing w:before="120"/>
              <w:rPr>
                <w:rFonts w:cs="Arial"/>
                <w:color w:val="auto"/>
                <w:szCs w:val="20"/>
              </w:rPr>
            </w:pPr>
            <w:r w:rsidRPr="00454100">
              <w:rPr>
                <w:rFonts w:cs="Arial"/>
                <w:color w:val="auto"/>
                <w:szCs w:val="20"/>
              </w:rPr>
              <w:t>Aquatic Biodiversity</w:t>
            </w:r>
          </w:p>
        </w:tc>
      </w:tr>
      <w:tr w:rsidR="00C01758" w:rsidRPr="00454100" w14:paraId="4F7F3D98" w14:textId="77777777" w:rsidTr="00C01758">
        <w:trPr>
          <w:trHeight w:val="279"/>
        </w:trPr>
        <w:tc>
          <w:tcPr>
            <w:tcW w:w="1809" w:type="dxa"/>
          </w:tcPr>
          <w:p w14:paraId="15020500" w14:textId="77777777" w:rsidR="00C01758" w:rsidRPr="00454100" w:rsidRDefault="00C01758" w:rsidP="00C01758">
            <w:pPr>
              <w:spacing w:before="120"/>
              <w:rPr>
                <w:rFonts w:cs="Arial"/>
                <w:color w:val="auto"/>
                <w:szCs w:val="20"/>
              </w:rPr>
            </w:pPr>
            <w:r w:rsidRPr="00454100">
              <w:rPr>
                <w:rFonts w:cs="Arial"/>
                <w:color w:val="auto"/>
                <w:szCs w:val="20"/>
              </w:rPr>
              <w:t>Bangladesh</w:t>
            </w:r>
          </w:p>
        </w:tc>
        <w:tc>
          <w:tcPr>
            <w:tcW w:w="2835" w:type="dxa"/>
          </w:tcPr>
          <w:p w14:paraId="09869A82" w14:textId="77777777" w:rsidR="00C01758" w:rsidRPr="00454100" w:rsidRDefault="00C01758" w:rsidP="00C01758">
            <w:pPr>
              <w:spacing w:before="120"/>
              <w:rPr>
                <w:rFonts w:cs="Arial"/>
                <w:color w:val="auto"/>
                <w:szCs w:val="20"/>
              </w:rPr>
            </w:pPr>
            <w:r w:rsidRPr="00454100">
              <w:rPr>
                <w:rFonts w:cs="Arial"/>
                <w:color w:val="auto"/>
                <w:szCs w:val="20"/>
              </w:rPr>
              <w:t xml:space="preserve">Dhaka University </w:t>
            </w:r>
          </w:p>
        </w:tc>
        <w:tc>
          <w:tcPr>
            <w:tcW w:w="3402" w:type="dxa"/>
          </w:tcPr>
          <w:p w14:paraId="0BE227F9" w14:textId="77777777" w:rsidR="00C01758" w:rsidRPr="00454100" w:rsidRDefault="00C01758" w:rsidP="00C01758">
            <w:pPr>
              <w:spacing w:before="120"/>
              <w:rPr>
                <w:rFonts w:cs="Arial"/>
                <w:color w:val="auto"/>
                <w:szCs w:val="20"/>
              </w:rPr>
            </w:pPr>
            <w:r w:rsidRPr="00454100">
              <w:rPr>
                <w:rFonts w:cs="Arial"/>
                <w:color w:val="auto"/>
                <w:szCs w:val="20"/>
              </w:rPr>
              <w:t>Prof. Badrul Imam</w:t>
            </w:r>
          </w:p>
        </w:tc>
        <w:tc>
          <w:tcPr>
            <w:tcW w:w="4854" w:type="dxa"/>
          </w:tcPr>
          <w:p w14:paraId="7E243E84" w14:textId="77777777" w:rsidR="00C01758" w:rsidRPr="00454100" w:rsidRDefault="00C01758" w:rsidP="00C01758">
            <w:pPr>
              <w:spacing w:before="120"/>
              <w:rPr>
                <w:rFonts w:cs="Arial"/>
                <w:color w:val="auto"/>
                <w:szCs w:val="20"/>
                <w:lang w:eastAsia="ja-JP"/>
              </w:rPr>
            </w:pPr>
            <w:r w:rsidRPr="00454100">
              <w:rPr>
                <w:rFonts w:cs="Arial"/>
                <w:color w:val="auto"/>
                <w:szCs w:val="20"/>
              </w:rPr>
              <w:t xml:space="preserve">Petro- </w:t>
            </w:r>
            <w:r w:rsidRPr="00454100">
              <w:rPr>
                <w:rFonts w:cs="Arial"/>
                <w:color w:val="auto"/>
                <w:szCs w:val="20"/>
                <w:lang w:eastAsia="ja-JP"/>
              </w:rPr>
              <w:t>geologist</w:t>
            </w:r>
          </w:p>
        </w:tc>
      </w:tr>
      <w:tr w:rsidR="00C01758" w:rsidRPr="00454100" w14:paraId="47C69C73" w14:textId="77777777" w:rsidTr="00C01758">
        <w:trPr>
          <w:trHeight w:val="300"/>
        </w:trPr>
        <w:tc>
          <w:tcPr>
            <w:tcW w:w="1809" w:type="dxa"/>
          </w:tcPr>
          <w:p w14:paraId="5F6AE2EF" w14:textId="77777777" w:rsidR="00C01758" w:rsidRPr="00454100" w:rsidRDefault="00C01758" w:rsidP="00C01758">
            <w:pPr>
              <w:spacing w:before="120"/>
              <w:rPr>
                <w:rFonts w:cs="Arial"/>
                <w:color w:val="auto"/>
                <w:szCs w:val="20"/>
              </w:rPr>
            </w:pPr>
            <w:r w:rsidRPr="00454100">
              <w:rPr>
                <w:rFonts w:cs="Arial"/>
                <w:color w:val="auto"/>
                <w:szCs w:val="20"/>
              </w:rPr>
              <w:t>USA</w:t>
            </w:r>
          </w:p>
        </w:tc>
        <w:tc>
          <w:tcPr>
            <w:tcW w:w="2835" w:type="dxa"/>
          </w:tcPr>
          <w:p w14:paraId="2290C830" w14:textId="77777777" w:rsidR="00C01758" w:rsidRPr="00454100" w:rsidRDefault="00C01758" w:rsidP="00C01758">
            <w:pPr>
              <w:spacing w:before="120"/>
              <w:rPr>
                <w:rFonts w:cs="Arial"/>
                <w:color w:val="auto"/>
                <w:szCs w:val="20"/>
              </w:rPr>
            </w:pPr>
            <w:r w:rsidRPr="00454100">
              <w:rPr>
                <w:rFonts w:cs="Arial"/>
                <w:color w:val="auto"/>
                <w:szCs w:val="20"/>
              </w:rPr>
              <w:t>Wildlife Conservation Society</w:t>
            </w:r>
          </w:p>
        </w:tc>
        <w:tc>
          <w:tcPr>
            <w:tcW w:w="3402" w:type="dxa"/>
          </w:tcPr>
          <w:p w14:paraId="275C995A" w14:textId="77777777" w:rsidR="00C01758" w:rsidRPr="00454100" w:rsidRDefault="00C01758" w:rsidP="00C01758">
            <w:pPr>
              <w:spacing w:before="120"/>
              <w:rPr>
                <w:rFonts w:cs="Arial"/>
                <w:color w:val="auto"/>
                <w:szCs w:val="20"/>
              </w:rPr>
            </w:pPr>
            <w:r w:rsidRPr="00454100">
              <w:rPr>
                <w:rFonts w:cs="Arial"/>
                <w:color w:val="auto"/>
                <w:szCs w:val="20"/>
              </w:rPr>
              <w:t>Brian Smith</w:t>
            </w:r>
          </w:p>
        </w:tc>
        <w:tc>
          <w:tcPr>
            <w:tcW w:w="4854" w:type="dxa"/>
          </w:tcPr>
          <w:p w14:paraId="2673E937" w14:textId="77777777" w:rsidR="00C01758" w:rsidRPr="00454100" w:rsidRDefault="00C01758" w:rsidP="00C01758">
            <w:pPr>
              <w:spacing w:before="120"/>
              <w:rPr>
                <w:rFonts w:cs="Arial"/>
                <w:color w:val="auto"/>
                <w:szCs w:val="20"/>
              </w:rPr>
            </w:pPr>
            <w:r w:rsidRPr="00454100">
              <w:rPr>
                <w:rFonts w:cs="Arial"/>
                <w:color w:val="auto"/>
                <w:szCs w:val="20"/>
              </w:rPr>
              <w:t>Wildlife expert</w:t>
            </w:r>
          </w:p>
        </w:tc>
      </w:tr>
      <w:tr w:rsidR="00C01758" w:rsidRPr="00454100" w14:paraId="3F2E13D6" w14:textId="77777777" w:rsidTr="00C01758">
        <w:trPr>
          <w:trHeight w:val="327"/>
        </w:trPr>
        <w:tc>
          <w:tcPr>
            <w:tcW w:w="1809" w:type="dxa"/>
          </w:tcPr>
          <w:p w14:paraId="296CCDD5" w14:textId="77777777" w:rsidR="00C01758" w:rsidRPr="00454100" w:rsidRDefault="00C01758" w:rsidP="00C01758">
            <w:pPr>
              <w:spacing w:before="120"/>
              <w:rPr>
                <w:rFonts w:cs="Arial"/>
                <w:color w:val="auto"/>
                <w:szCs w:val="20"/>
              </w:rPr>
            </w:pPr>
            <w:r w:rsidRPr="00454100">
              <w:rPr>
                <w:rFonts w:cs="Arial"/>
                <w:color w:val="auto"/>
                <w:szCs w:val="20"/>
              </w:rPr>
              <w:t>Bangladesh</w:t>
            </w:r>
          </w:p>
        </w:tc>
        <w:tc>
          <w:tcPr>
            <w:tcW w:w="2835" w:type="dxa"/>
          </w:tcPr>
          <w:p w14:paraId="4E2126FD" w14:textId="77777777" w:rsidR="00C01758" w:rsidRPr="00454100" w:rsidRDefault="00C01758" w:rsidP="00C01758">
            <w:pPr>
              <w:spacing w:before="120"/>
              <w:rPr>
                <w:rFonts w:cs="Arial"/>
                <w:color w:val="auto"/>
                <w:szCs w:val="20"/>
              </w:rPr>
            </w:pPr>
            <w:r w:rsidRPr="00454100">
              <w:rPr>
                <w:rFonts w:cs="Arial"/>
                <w:color w:val="auto"/>
                <w:szCs w:val="20"/>
              </w:rPr>
              <w:t>UNDP</w:t>
            </w:r>
          </w:p>
        </w:tc>
        <w:tc>
          <w:tcPr>
            <w:tcW w:w="3402" w:type="dxa"/>
          </w:tcPr>
          <w:p w14:paraId="68E1A41B" w14:textId="77777777" w:rsidR="00C01758" w:rsidRPr="00454100" w:rsidRDefault="00C01758" w:rsidP="00C01758">
            <w:pPr>
              <w:spacing w:before="120"/>
              <w:rPr>
                <w:rFonts w:cs="Arial"/>
                <w:color w:val="auto"/>
                <w:szCs w:val="20"/>
              </w:rPr>
            </w:pPr>
            <w:r w:rsidRPr="00454100">
              <w:rPr>
                <w:rFonts w:cs="Arial"/>
                <w:color w:val="auto"/>
                <w:szCs w:val="20"/>
              </w:rPr>
              <w:t>Sifayet Ullah</w:t>
            </w:r>
          </w:p>
        </w:tc>
        <w:tc>
          <w:tcPr>
            <w:tcW w:w="4854" w:type="dxa"/>
          </w:tcPr>
          <w:p w14:paraId="336184BD" w14:textId="77777777" w:rsidR="00C01758" w:rsidRPr="00454100" w:rsidRDefault="00C01758" w:rsidP="00C01758">
            <w:pPr>
              <w:spacing w:before="120"/>
              <w:rPr>
                <w:rFonts w:cs="Arial"/>
                <w:color w:val="auto"/>
                <w:szCs w:val="20"/>
              </w:rPr>
            </w:pPr>
            <w:r w:rsidRPr="00454100">
              <w:rPr>
                <w:rFonts w:cs="Arial"/>
                <w:color w:val="auto"/>
                <w:szCs w:val="20"/>
              </w:rPr>
              <w:t>Logistics/ Disaster Management</w:t>
            </w:r>
          </w:p>
        </w:tc>
      </w:tr>
      <w:tr w:rsidR="00C01758" w:rsidRPr="00454100" w14:paraId="066EC031" w14:textId="77777777" w:rsidTr="00C01758">
        <w:trPr>
          <w:trHeight w:val="261"/>
        </w:trPr>
        <w:tc>
          <w:tcPr>
            <w:tcW w:w="1809" w:type="dxa"/>
          </w:tcPr>
          <w:p w14:paraId="65BBD607" w14:textId="77777777" w:rsidR="00C01758" w:rsidRPr="00454100" w:rsidRDefault="00C01758" w:rsidP="00C01758">
            <w:pPr>
              <w:spacing w:before="120"/>
              <w:rPr>
                <w:rFonts w:cs="Arial"/>
                <w:color w:val="auto"/>
                <w:szCs w:val="20"/>
                <w:lang w:eastAsia="ja-JP"/>
              </w:rPr>
            </w:pPr>
            <w:r w:rsidRPr="00454100">
              <w:rPr>
                <w:rFonts w:cs="Arial"/>
                <w:color w:val="auto"/>
                <w:szCs w:val="20"/>
                <w:lang w:eastAsia="ja-JP"/>
              </w:rPr>
              <w:t>Bangladesh</w:t>
            </w:r>
          </w:p>
        </w:tc>
        <w:tc>
          <w:tcPr>
            <w:tcW w:w="2835" w:type="dxa"/>
          </w:tcPr>
          <w:p w14:paraId="720EA9D9" w14:textId="77777777" w:rsidR="00C01758" w:rsidRPr="00454100" w:rsidRDefault="00C01758" w:rsidP="00C01758">
            <w:pPr>
              <w:spacing w:before="120"/>
              <w:rPr>
                <w:rFonts w:cs="Arial"/>
                <w:color w:val="auto"/>
                <w:szCs w:val="20"/>
                <w:lang w:eastAsia="ja-JP"/>
              </w:rPr>
            </w:pPr>
            <w:r w:rsidRPr="00454100">
              <w:rPr>
                <w:rFonts w:cs="Arial"/>
                <w:color w:val="auto"/>
                <w:szCs w:val="20"/>
                <w:lang w:eastAsia="ja-JP"/>
              </w:rPr>
              <w:t>UNDP</w:t>
            </w:r>
          </w:p>
        </w:tc>
        <w:tc>
          <w:tcPr>
            <w:tcW w:w="3402" w:type="dxa"/>
          </w:tcPr>
          <w:p w14:paraId="3796EBD5" w14:textId="77777777" w:rsidR="00C01758" w:rsidRPr="00454100" w:rsidRDefault="00C01758" w:rsidP="00C01758">
            <w:pPr>
              <w:spacing w:before="120"/>
              <w:rPr>
                <w:rFonts w:cs="Arial"/>
                <w:color w:val="auto"/>
                <w:szCs w:val="20"/>
                <w:lang w:eastAsia="ja-JP"/>
              </w:rPr>
            </w:pPr>
            <w:r w:rsidRPr="00454100">
              <w:rPr>
                <w:rFonts w:cs="Arial"/>
                <w:color w:val="auto"/>
                <w:szCs w:val="20"/>
                <w:lang w:eastAsia="ja-JP"/>
              </w:rPr>
              <w:t>Kawser Ahmed Shaikh Mohammad</w:t>
            </w:r>
          </w:p>
        </w:tc>
        <w:tc>
          <w:tcPr>
            <w:tcW w:w="4854" w:type="dxa"/>
          </w:tcPr>
          <w:p w14:paraId="33E229EA" w14:textId="77777777" w:rsidR="00C01758" w:rsidRPr="00454100" w:rsidRDefault="00C01758" w:rsidP="00C01758">
            <w:pPr>
              <w:spacing w:before="120"/>
              <w:rPr>
                <w:rFonts w:cs="Arial"/>
                <w:color w:val="auto"/>
                <w:szCs w:val="20"/>
                <w:lang w:eastAsia="ja-JP"/>
              </w:rPr>
            </w:pPr>
            <w:r w:rsidRPr="00454100">
              <w:rPr>
                <w:rFonts w:cs="Arial"/>
                <w:color w:val="auto"/>
                <w:szCs w:val="20"/>
                <w:lang w:eastAsia="ja-JP"/>
              </w:rPr>
              <w:t xml:space="preserve">Communications </w:t>
            </w:r>
          </w:p>
        </w:tc>
      </w:tr>
      <w:tr w:rsidR="00C01758" w:rsidRPr="00454100" w14:paraId="7599FD52" w14:textId="77777777" w:rsidTr="00C01758">
        <w:trPr>
          <w:trHeight w:val="279"/>
        </w:trPr>
        <w:tc>
          <w:tcPr>
            <w:tcW w:w="1809" w:type="dxa"/>
          </w:tcPr>
          <w:p w14:paraId="61CFC488" w14:textId="77777777" w:rsidR="00C01758" w:rsidRPr="00454100" w:rsidRDefault="00C01758" w:rsidP="00C01758">
            <w:pPr>
              <w:spacing w:before="120"/>
              <w:rPr>
                <w:rFonts w:cs="Arial"/>
                <w:color w:val="auto"/>
                <w:szCs w:val="20"/>
                <w:lang w:eastAsia="ja-JP"/>
              </w:rPr>
            </w:pPr>
            <w:r w:rsidRPr="00454100">
              <w:rPr>
                <w:rFonts w:cs="Arial"/>
                <w:color w:val="auto"/>
                <w:szCs w:val="20"/>
                <w:lang w:eastAsia="ja-JP"/>
              </w:rPr>
              <w:t>Bangladesh</w:t>
            </w:r>
          </w:p>
        </w:tc>
        <w:tc>
          <w:tcPr>
            <w:tcW w:w="2835" w:type="dxa"/>
          </w:tcPr>
          <w:p w14:paraId="7AB3801A" w14:textId="77777777" w:rsidR="00C01758" w:rsidRPr="00454100" w:rsidRDefault="00C01758" w:rsidP="00C01758">
            <w:pPr>
              <w:spacing w:before="120"/>
              <w:rPr>
                <w:rFonts w:cs="Arial"/>
                <w:color w:val="auto"/>
                <w:szCs w:val="20"/>
                <w:lang w:eastAsia="ja-JP"/>
              </w:rPr>
            </w:pPr>
            <w:r w:rsidRPr="00454100">
              <w:rPr>
                <w:rFonts w:cs="Arial"/>
                <w:color w:val="auto"/>
                <w:szCs w:val="20"/>
                <w:lang w:eastAsia="ja-JP"/>
              </w:rPr>
              <w:t>UNDP</w:t>
            </w:r>
          </w:p>
        </w:tc>
        <w:tc>
          <w:tcPr>
            <w:tcW w:w="3402" w:type="dxa"/>
          </w:tcPr>
          <w:p w14:paraId="53465876" w14:textId="77777777" w:rsidR="00C01758" w:rsidRPr="00454100" w:rsidRDefault="00C01758" w:rsidP="00C01758">
            <w:pPr>
              <w:spacing w:before="120"/>
              <w:rPr>
                <w:rFonts w:eastAsia="MS Mincho" w:cs="Arial"/>
                <w:color w:val="auto"/>
                <w:szCs w:val="20"/>
                <w:lang w:eastAsia="ja-JP"/>
              </w:rPr>
            </w:pPr>
            <w:r w:rsidRPr="00454100">
              <w:rPr>
                <w:rFonts w:cs="Arial"/>
                <w:color w:val="auto"/>
                <w:szCs w:val="20"/>
                <w:lang w:eastAsia="ja-JP"/>
              </w:rPr>
              <w:t>I</w:t>
            </w:r>
            <w:r w:rsidRPr="00454100">
              <w:rPr>
                <w:rFonts w:eastAsia="MS Mincho" w:cs="Arial"/>
                <w:color w:val="auto"/>
                <w:szCs w:val="20"/>
                <w:lang w:eastAsia="ja-JP"/>
              </w:rPr>
              <w:t>k</w:t>
            </w:r>
            <w:r w:rsidRPr="00454100">
              <w:rPr>
                <w:rFonts w:cs="Arial"/>
                <w:color w:val="auto"/>
                <w:szCs w:val="20"/>
                <w:lang w:eastAsia="ja-JP"/>
              </w:rPr>
              <w:t>bal Faru</w:t>
            </w:r>
            <w:r w:rsidRPr="00454100">
              <w:rPr>
                <w:rFonts w:eastAsia="MS Mincho" w:cs="Arial"/>
                <w:color w:val="auto"/>
                <w:szCs w:val="20"/>
                <w:lang w:eastAsia="ja-JP"/>
              </w:rPr>
              <w:t>k</w:t>
            </w:r>
          </w:p>
        </w:tc>
        <w:tc>
          <w:tcPr>
            <w:tcW w:w="4854" w:type="dxa"/>
          </w:tcPr>
          <w:p w14:paraId="4CBC79D0" w14:textId="77777777" w:rsidR="00C01758" w:rsidRPr="00454100" w:rsidRDefault="00C01758" w:rsidP="00C01758">
            <w:pPr>
              <w:spacing w:before="120"/>
              <w:rPr>
                <w:rFonts w:cs="Arial"/>
                <w:color w:val="auto"/>
                <w:szCs w:val="20"/>
                <w:lang w:eastAsia="ja-JP"/>
              </w:rPr>
            </w:pPr>
            <w:r w:rsidRPr="00454100">
              <w:rPr>
                <w:rFonts w:cs="Arial"/>
                <w:color w:val="auto"/>
                <w:szCs w:val="20"/>
                <w:lang w:eastAsia="ja-JP"/>
              </w:rPr>
              <w:t>Livelihoods, Livelihood Sub-Team Leader</w:t>
            </w:r>
          </w:p>
        </w:tc>
      </w:tr>
      <w:tr w:rsidR="00C01758" w:rsidRPr="00454100" w14:paraId="34AEEBEA" w14:textId="77777777" w:rsidTr="00C01758">
        <w:trPr>
          <w:trHeight w:val="283"/>
        </w:trPr>
        <w:tc>
          <w:tcPr>
            <w:tcW w:w="1809" w:type="dxa"/>
          </w:tcPr>
          <w:p w14:paraId="2F982E0C" w14:textId="77777777" w:rsidR="00C01758" w:rsidRPr="00454100" w:rsidRDefault="00C01758" w:rsidP="00C01758">
            <w:pPr>
              <w:spacing w:before="120"/>
              <w:rPr>
                <w:rFonts w:cs="Arial"/>
                <w:color w:val="auto"/>
                <w:szCs w:val="20"/>
                <w:lang w:eastAsia="ja-JP"/>
              </w:rPr>
            </w:pPr>
            <w:r w:rsidRPr="00454100">
              <w:rPr>
                <w:rFonts w:cs="Arial"/>
                <w:color w:val="auto"/>
                <w:szCs w:val="20"/>
                <w:lang w:eastAsia="ja-JP"/>
              </w:rPr>
              <w:t>Bangladesh</w:t>
            </w:r>
          </w:p>
        </w:tc>
        <w:tc>
          <w:tcPr>
            <w:tcW w:w="2835" w:type="dxa"/>
          </w:tcPr>
          <w:p w14:paraId="7C2B548D" w14:textId="77777777" w:rsidR="00C01758" w:rsidRPr="00454100" w:rsidRDefault="00C01758" w:rsidP="00C01758">
            <w:pPr>
              <w:spacing w:before="120"/>
              <w:rPr>
                <w:rFonts w:cs="Arial"/>
                <w:color w:val="auto"/>
                <w:szCs w:val="20"/>
                <w:lang w:eastAsia="ja-JP"/>
              </w:rPr>
            </w:pPr>
            <w:r w:rsidRPr="00454100">
              <w:rPr>
                <w:rFonts w:cs="Arial"/>
                <w:color w:val="auto"/>
                <w:szCs w:val="20"/>
                <w:lang w:eastAsia="ja-JP"/>
              </w:rPr>
              <w:t>UNDP</w:t>
            </w:r>
          </w:p>
        </w:tc>
        <w:tc>
          <w:tcPr>
            <w:tcW w:w="3402" w:type="dxa"/>
          </w:tcPr>
          <w:p w14:paraId="2557AF64" w14:textId="77777777" w:rsidR="00C01758" w:rsidRPr="00454100" w:rsidRDefault="00C01758" w:rsidP="00C01758">
            <w:pPr>
              <w:spacing w:before="120"/>
              <w:rPr>
                <w:rFonts w:cs="Arial"/>
                <w:color w:val="auto"/>
                <w:szCs w:val="20"/>
                <w:lang w:eastAsia="ja-JP"/>
              </w:rPr>
            </w:pPr>
            <w:r w:rsidRPr="00454100">
              <w:rPr>
                <w:rFonts w:cs="Arial"/>
                <w:color w:val="auto"/>
                <w:szCs w:val="20"/>
                <w:lang w:eastAsia="ja-JP"/>
              </w:rPr>
              <w:t>Man Thapa</w:t>
            </w:r>
          </w:p>
        </w:tc>
        <w:tc>
          <w:tcPr>
            <w:tcW w:w="4854" w:type="dxa"/>
          </w:tcPr>
          <w:p w14:paraId="2FF06712" w14:textId="77777777" w:rsidR="00C01758" w:rsidRPr="00454100" w:rsidRDefault="00C01758" w:rsidP="00C01758">
            <w:pPr>
              <w:spacing w:before="120"/>
              <w:rPr>
                <w:rFonts w:cs="Arial"/>
                <w:color w:val="auto"/>
                <w:szCs w:val="20"/>
                <w:lang w:eastAsia="ja-JP"/>
              </w:rPr>
            </w:pPr>
            <w:r w:rsidRPr="00454100">
              <w:rPr>
                <w:rFonts w:cs="Arial"/>
                <w:color w:val="auto"/>
                <w:szCs w:val="20"/>
                <w:lang w:eastAsia="ja-JP"/>
              </w:rPr>
              <w:t>Livelihoods, disaster risk reduction</w:t>
            </w:r>
          </w:p>
        </w:tc>
      </w:tr>
      <w:tr w:rsidR="00C01758" w:rsidRPr="00454100" w14:paraId="20D518FE" w14:textId="77777777" w:rsidTr="00C01758">
        <w:trPr>
          <w:trHeight w:val="267"/>
        </w:trPr>
        <w:tc>
          <w:tcPr>
            <w:tcW w:w="1809" w:type="dxa"/>
          </w:tcPr>
          <w:p w14:paraId="359D49B3" w14:textId="77777777" w:rsidR="00C01758" w:rsidRPr="00454100" w:rsidRDefault="00C01758" w:rsidP="00C01758">
            <w:pPr>
              <w:spacing w:before="120"/>
              <w:rPr>
                <w:rFonts w:cs="Arial"/>
                <w:color w:val="auto"/>
                <w:szCs w:val="20"/>
                <w:lang w:eastAsia="ja-JP"/>
              </w:rPr>
            </w:pPr>
            <w:r w:rsidRPr="00454100">
              <w:rPr>
                <w:rFonts w:cs="Arial"/>
                <w:color w:val="auto"/>
                <w:szCs w:val="20"/>
                <w:lang w:eastAsia="ja-JP"/>
              </w:rPr>
              <w:t>Bangladesh</w:t>
            </w:r>
          </w:p>
        </w:tc>
        <w:tc>
          <w:tcPr>
            <w:tcW w:w="2835" w:type="dxa"/>
          </w:tcPr>
          <w:p w14:paraId="6E211BC3" w14:textId="77777777" w:rsidR="00C01758" w:rsidRPr="00454100" w:rsidRDefault="00C01758" w:rsidP="00C01758">
            <w:pPr>
              <w:spacing w:before="120"/>
              <w:rPr>
                <w:rFonts w:cs="Arial"/>
                <w:color w:val="auto"/>
                <w:szCs w:val="20"/>
                <w:lang w:eastAsia="ja-JP"/>
              </w:rPr>
            </w:pPr>
            <w:r w:rsidRPr="00454100">
              <w:rPr>
                <w:rFonts w:cs="Arial"/>
                <w:color w:val="auto"/>
                <w:szCs w:val="20"/>
                <w:lang w:eastAsia="ja-JP"/>
              </w:rPr>
              <w:t>UNDP</w:t>
            </w:r>
          </w:p>
        </w:tc>
        <w:tc>
          <w:tcPr>
            <w:tcW w:w="3402" w:type="dxa"/>
          </w:tcPr>
          <w:p w14:paraId="0732E97A" w14:textId="77777777" w:rsidR="00C01758" w:rsidRPr="00454100" w:rsidRDefault="00C01758" w:rsidP="00C01758">
            <w:pPr>
              <w:spacing w:before="120"/>
              <w:rPr>
                <w:rFonts w:cs="Arial"/>
                <w:color w:val="auto"/>
                <w:szCs w:val="20"/>
                <w:lang w:eastAsia="ja-JP"/>
              </w:rPr>
            </w:pPr>
            <w:r w:rsidRPr="00454100">
              <w:rPr>
                <w:rFonts w:cs="Arial"/>
                <w:color w:val="auto"/>
                <w:szCs w:val="20"/>
                <w:lang w:eastAsia="ja-JP"/>
              </w:rPr>
              <w:t>Farida Shahnaz</w:t>
            </w:r>
          </w:p>
        </w:tc>
        <w:tc>
          <w:tcPr>
            <w:tcW w:w="4854" w:type="dxa"/>
          </w:tcPr>
          <w:p w14:paraId="47339482" w14:textId="77777777" w:rsidR="00C01758" w:rsidRPr="00454100" w:rsidRDefault="00C01758" w:rsidP="00C01758">
            <w:pPr>
              <w:spacing w:before="120"/>
              <w:rPr>
                <w:rFonts w:cs="Arial"/>
                <w:color w:val="auto"/>
                <w:szCs w:val="20"/>
                <w:lang w:eastAsia="ja-JP"/>
              </w:rPr>
            </w:pPr>
            <w:r w:rsidRPr="00454100">
              <w:rPr>
                <w:rFonts w:cs="Arial"/>
                <w:color w:val="auto"/>
                <w:szCs w:val="20"/>
                <w:lang w:eastAsia="ja-JP"/>
              </w:rPr>
              <w:t>Livelihood and gender</w:t>
            </w:r>
          </w:p>
        </w:tc>
      </w:tr>
      <w:tr w:rsidR="00C01758" w:rsidRPr="00454100" w14:paraId="533462D6" w14:textId="77777777" w:rsidTr="00C01758">
        <w:trPr>
          <w:trHeight w:val="285"/>
        </w:trPr>
        <w:tc>
          <w:tcPr>
            <w:tcW w:w="1809" w:type="dxa"/>
          </w:tcPr>
          <w:p w14:paraId="2A2C92FB" w14:textId="77777777" w:rsidR="00C01758" w:rsidRPr="00454100" w:rsidRDefault="00C01758" w:rsidP="00C01758">
            <w:pPr>
              <w:spacing w:before="120"/>
              <w:rPr>
                <w:rFonts w:cs="Arial"/>
                <w:color w:val="auto"/>
                <w:szCs w:val="20"/>
                <w:lang w:eastAsia="ja-JP"/>
              </w:rPr>
            </w:pPr>
            <w:r w:rsidRPr="00454100">
              <w:rPr>
                <w:rFonts w:cs="Arial"/>
                <w:color w:val="auto"/>
                <w:szCs w:val="20"/>
                <w:lang w:eastAsia="ja-JP"/>
              </w:rPr>
              <w:t>Bangladesh</w:t>
            </w:r>
          </w:p>
        </w:tc>
        <w:tc>
          <w:tcPr>
            <w:tcW w:w="2835" w:type="dxa"/>
          </w:tcPr>
          <w:p w14:paraId="0B0F5E56" w14:textId="77777777" w:rsidR="00C01758" w:rsidRPr="00454100" w:rsidRDefault="00C01758" w:rsidP="00C01758">
            <w:pPr>
              <w:spacing w:before="120"/>
              <w:rPr>
                <w:rFonts w:cs="Arial"/>
                <w:color w:val="auto"/>
                <w:szCs w:val="20"/>
                <w:lang w:eastAsia="ja-JP"/>
              </w:rPr>
            </w:pPr>
            <w:r w:rsidRPr="00454100">
              <w:rPr>
                <w:rFonts w:cs="Arial"/>
                <w:color w:val="auto"/>
                <w:szCs w:val="20"/>
                <w:lang w:eastAsia="ja-JP"/>
              </w:rPr>
              <w:t>UNDP</w:t>
            </w:r>
          </w:p>
        </w:tc>
        <w:tc>
          <w:tcPr>
            <w:tcW w:w="3402" w:type="dxa"/>
          </w:tcPr>
          <w:p w14:paraId="67A2B0BA" w14:textId="77777777" w:rsidR="00C01758" w:rsidRPr="00454100" w:rsidRDefault="00C01758" w:rsidP="00C01758">
            <w:pPr>
              <w:spacing w:before="120"/>
              <w:rPr>
                <w:rFonts w:cs="Arial"/>
                <w:color w:val="auto"/>
                <w:szCs w:val="20"/>
                <w:lang w:eastAsia="ja-JP"/>
              </w:rPr>
            </w:pPr>
            <w:r w:rsidRPr="00454100">
              <w:rPr>
                <w:rFonts w:cs="Arial"/>
                <w:color w:val="auto"/>
                <w:szCs w:val="20"/>
                <w:lang w:eastAsia="ja-JP"/>
              </w:rPr>
              <w:t xml:space="preserve">Sharif Ahmed Bhuiyan </w:t>
            </w:r>
          </w:p>
        </w:tc>
        <w:tc>
          <w:tcPr>
            <w:tcW w:w="4854" w:type="dxa"/>
          </w:tcPr>
          <w:p w14:paraId="6762C535" w14:textId="77777777" w:rsidR="00C01758" w:rsidRPr="00454100" w:rsidRDefault="00C01758" w:rsidP="00C01758">
            <w:pPr>
              <w:spacing w:before="120"/>
              <w:rPr>
                <w:rFonts w:cs="Arial"/>
                <w:color w:val="auto"/>
                <w:szCs w:val="20"/>
                <w:lang w:eastAsia="ja-JP"/>
              </w:rPr>
            </w:pPr>
            <w:r w:rsidRPr="00454100">
              <w:rPr>
                <w:rFonts w:cs="Arial"/>
                <w:color w:val="auto"/>
                <w:szCs w:val="20"/>
                <w:lang w:eastAsia="ja-JP"/>
              </w:rPr>
              <w:t xml:space="preserve">Security </w:t>
            </w:r>
          </w:p>
        </w:tc>
      </w:tr>
      <w:tr w:rsidR="00C01758" w:rsidRPr="00454100" w14:paraId="4497CDE1" w14:textId="77777777" w:rsidTr="00C01758">
        <w:trPr>
          <w:trHeight w:val="262"/>
        </w:trPr>
        <w:tc>
          <w:tcPr>
            <w:tcW w:w="12900" w:type="dxa"/>
            <w:gridSpan w:val="4"/>
          </w:tcPr>
          <w:p w14:paraId="1BC08AC1" w14:textId="77777777" w:rsidR="00C01758" w:rsidRPr="00454100" w:rsidRDefault="00C01758" w:rsidP="00C01758">
            <w:pPr>
              <w:spacing w:before="120"/>
              <w:rPr>
                <w:rFonts w:cs="Arial"/>
                <w:b/>
                <w:color w:val="auto"/>
                <w:szCs w:val="20"/>
                <w:lang w:eastAsia="ja-JP"/>
              </w:rPr>
            </w:pPr>
            <w:r w:rsidRPr="00454100">
              <w:rPr>
                <w:rFonts w:cs="Arial"/>
                <w:b/>
                <w:color w:val="auto"/>
                <w:szCs w:val="20"/>
                <w:lang w:eastAsia="ja-JP"/>
              </w:rPr>
              <w:t>Assessment Support Staff</w:t>
            </w:r>
          </w:p>
        </w:tc>
      </w:tr>
      <w:tr w:rsidR="00C01758" w:rsidRPr="00454100" w14:paraId="6CB09931" w14:textId="77777777" w:rsidTr="00C01758">
        <w:trPr>
          <w:trHeight w:val="757"/>
        </w:trPr>
        <w:tc>
          <w:tcPr>
            <w:tcW w:w="1809" w:type="dxa"/>
          </w:tcPr>
          <w:p w14:paraId="0EC1FA52" w14:textId="77777777" w:rsidR="00C01758" w:rsidRPr="00454100" w:rsidRDefault="00C01758" w:rsidP="00C01758">
            <w:pPr>
              <w:spacing w:before="120"/>
              <w:rPr>
                <w:rFonts w:cs="Arial"/>
                <w:color w:val="auto"/>
                <w:szCs w:val="20"/>
              </w:rPr>
            </w:pPr>
            <w:r w:rsidRPr="00454100">
              <w:rPr>
                <w:rFonts w:cs="Arial"/>
                <w:color w:val="auto"/>
                <w:szCs w:val="20"/>
              </w:rPr>
              <w:t>United Kingdom</w:t>
            </w:r>
          </w:p>
        </w:tc>
        <w:tc>
          <w:tcPr>
            <w:tcW w:w="2835" w:type="dxa"/>
          </w:tcPr>
          <w:p w14:paraId="42ACDD80" w14:textId="77777777" w:rsidR="00C01758" w:rsidRPr="00454100" w:rsidRDefault="00C01758" w:rsidP="00C01758">
            <w:pPr>
              <w:spacing w:before="120"/>
              <w:rPr>
                <w:rFonts w:cs="Arial"/>
                <w:color w:val="auto"/>
                <w:szCs w:val="20"/>
              </w:rPr>
            </w:pPr>
            <w:r w:rsidRPr="00454100">
              <w:rPr>
                <w:rFonts w:cs="Arial"/>
                <w:color w:val="auto"/>
                <w:szCs w:val="20"/>
              </w:rPr>
              <w:t>The International Tanker Owners Pollution Federation Limited (ITOPF)</w:t>
            </w:r>
          </w:p>
        </w:tc>
        <w:tc>
          <w:tcPr>
            <w:tcW w:w="3402" w:type="dxa"/>
          </w:tcPr>
          <w:p w14:paraId="7CBA5CCD" w14:textId="77777777" w:rsidR="00C01758" w:rsidRPr="00454100" w:rsidRDefault="00C01758" w:rsidP="00C01758">
            <w:pPr>
              <w:spacing w:before="120"/>
              <w:rPr>
                <w:rFonts w:cs="Arial"/>
                <w:color w:val="auto"/>
                <w:szCs w:val="20"/>
              </w:rPr>
            </w:pPr>
            <w:r w:rsidRPr="00454100">
              <w:rPr>
                <w:rFonts w:cs="Arial"/>
                <w:color w:val="auto"/>
                <w:szCs w:val="20"/>
              </w:rPr>
              <w:t>Mark Whittington</w:t>
            </w:r>
          </w:p>
          <w:p w14:paraId="1487147E" w14:textId="77777777" w:rsidR="00C01758" w:rsidRPr="00454100" w:rsidRDefault="00C01758" w:rsidP="00C01758">
            <w:pPr>
              <w:spacing w:before="120"/>
              <w:rPr>
                <w:rFonts w:cs="Arial"/>
                <w:color w:val="auto"/>
                <w:szCs w:val="20"/>
                <w:lang w:eastAsia="ja-JP"/>
              </w:rPr>
            </w:pPr>
          </w:p>
        </w:tc>
        <w:tc>
          <w:tcPr>
            <w:tcW w:w="4854" w:type="dxa"/>
          </w:tcPr>
          <w:p w14:paraId="1D29EE88" w14:textId="77777777" w:rsidR="00C01758" w:rsidRPr="00454100" w:rsidRDefault="00C01758" w:rsidP="00C01758">
            <w:pPr>
              <w:spacing w:before="120"/>
              <w:rPr>
                <w:rFonts w:cs="Arial"/>
                <w:color w:val="auto"/>
                <w:szCs w:val="20"/>
              </w:rPr>
            </w:pPr>
            <w:r w:rsidRPr="00454100">
              <w:rPr>
                <w:rFonts w:cs="Arial"/>
                <w:color w:val="auto"/>
                <w:szCs w:val="20"/>
              </w:rPr>
              <w:t>Oil spill intervention expert</w:t>
            </w:r>
          </w:p>
        </w:tc>
      </w:tr>
      <w:tr w:rsidR="00C01758" w:rsidRPr="00454100" w14:paraId="71FEBB90" w14:textId="77777777" w:rsidTr="00C01758">
        <w:trPr>
          <w:trHeight w:val="232"/>
        </w:trPr>
        <w:tc>
          <w:tcPr>
            <w:tcW w:w="1809" w:type="dxa"/>
          </w:tcPr>
          <w:p w14:paraId="4DF1D912" w14:textId="77777777" w:rsidR="00C01758" w:rsidRPr="00454100" w:rsidRDefault="00C01758" w:rsidP="00C01758">
            <w:pPr>
              <w:spacing w:before="120"/>
              <w:rPr>
                <w:rFonts w:cs="Arial"/>
                <w:color w:val="auto"/>
                <w:szCs w:val="20"/>
              </w:rPr>
            </w:pPr>
            <w:r w:rsidRPr="00454100">
              <w:rPr>
                <w:rFonts w:cs="Arial"/>
                <w:color w:val="auto"/>
                <w:szCs w:val="20"/>
              </w:rPr>
              <w:t>Bangladesh</w:t>
            </w:r>
          </w:p>
        </w:tc>
        <w:tc>
          <w:tcPr>
            <w:tcW w:w="2835" w:type="dxa"/>
          </w:tcPr>
          <w:p w14:paraId="52217383" w14:textId="77777777" w:rsidR="00C01758" w:rsidRPr="00454100" w:rsidRDefault="00C01758" w:rsidP="00C01758">
            <w:pPr>
              <w:spacing w:before="120"/>
              <w:rPr>
                <w:rFonts w:cs="Arial"/>
                <w:color w:val="auto"/>
                <w:szCs w:val="20"/>
              </w:rPr>
            </w:pPr>
            <w:r w:rsidRPr="00454100">
              <w:rPr>
                <w:rFonts w:cs="Arial"/>
                <w:color w:val="auto"/>
                <w:szCs w:val="20"/>
              </w:rPr>
              <w:t>Wildlife Conservation Society</w:t>
            </w:r>
          </w:p>
        </w:tc>
        <w:tc>
          <w:tcPr>
            <w:tcW w:w="3402" w:type="dxa"/>
          </w:tcPr>
          <w:p w14:paraId="6859389C" w14:textId="77777777" w:rsidR="00C01758" w:rsidRPr="00454100" w:rsidRDefault="00C01758" w:rsidP="00C01758">
            <w:pPr>
              <w:spacing w:before="120"/>
              <w:rPr>
                <w:rFonts w:cs="Arial"/>
                <w:color w:val="auto"/>
                <w:szCs w:val="20"/>
                <w:lang w:eastAsia="ja-JP"/>
              </w:rPr>
            </w:pPr>
            <w:r w:rsidRPr="00454100">
              <w:rPr>
                <w:rFonts w:cs="Arial"/>
                <w:color w:val="auto"/>
                <w:szCs w:val="20"/>
                <w:lang w:eastAsia="ja-JP"/>
              </w:rPr>
              <w:t>Rubaiyat Mansur</w:t>
            </w:r>
          </w:p>
        </w:tc>
        <w:tc>
          <w:tcPr>
            <w:tcW w:w="4854" w:type="dxa"/>
          </w:tcPr>
          <w:p w14:paraId="41DDB893" w14:textId="77777777" w:rsidR="00C01758" w:rsidRPr="00454100" w:rsidRDefault="00C01758" w:rsidP="00C01758">
            <w:pPr>
              <w:spacing w:before="120"/>
              <w:rPr>
                <w:rFonts w:cs="Arial"/>
                <w:color w:val="auto"/>
                <w:szCs w:val="20"/>
              </w:rPr>
            </w:pPr>
            <w:r w:rsidRPr="00454100">
              <w:rPr>
                <w:rFonts w:cs="Arial"/>
                <w:color w:val="auto"/>
                <w:szCs w:val="20"/>
              </w:rPr>
              <w:t>Extent, wildlife, UAV</w:t>
            </w:r>
          </w:p>
        </w:tc>
      </w:tr>
      <w:tr w:rsidR="00C01758" w:rsidRPr="00454100" w14:paraId="640965B4" w14:textId="77777777" w:rsidTr="00C01758">
        <w:trPr>
          <w:trHeight w:val="273"/>
        </w:trPr>
        <w:tc>
          <w:tcPr>
            <w:tcW w:w="1809" w:type="dxa"/>
          </w:tcPr>
          <w:p w14:paraId="546E6D2F" w14:textId="77777777" w:rsidR="00C01758" w:rsidRPr="00454100" w:rsidRDefault="00C01758" w:rsidP="00C01758">
            <w:pPr>
              <w:spacing w:before="120"/>
              <w:rPr>
                <w:rFonts w:cs="Arial"/>
                <w:color w:val="auto"/>
                <w:szCs w:val="20"/>
                <w:lang w:eastAsia="ja-JP"/>
              </w:rPr>
            </w:pPr>
            <w:r w:rsidRPr="00454100">
              <w:rPr>
                <w:rFonts w:cs="Arial"/>
                <w:color w:val="auto"/>
                <w:szCs w:val="20"/>
                <w:lang w:eastAsia="ja-JP"/>
              </w:rPr>
              <w:t>Bangladesh</w:t>
            </w:r>
          </w:p>
        </w:tc>
        <w:tc>
          <w:tcPr>
            <w:tcW w:w="2835" w:type="dxa"/>
          </w:tcPr>
          <w:p w14:paraId="2B5F973E" w14:textId="77777777" w:rsidR="00C01758" w:rsidRPr="00454100" w:rsidRDefault="00C01758" w:rsidP="00C01758">
            <w:pPr>
              <w:spacing w:before="120"/>
              <w:rPr>
                <w:rFonts w:cs="Arial"/>
                <w:color w:val="auto"/>
                <w:szCs w:val="20"/>
                <w:lang w:eastAsia="ja-JP"/>
              </w:rPr>
            </w:pPr>
            <w:r w:rsidRPr="00454100">
              <w:rPr>
                <w:rFonts w:cs="Arial"/>
                <w:color w:val="auto"/>
                <w:szCs w:val="20"/>
              </w:rPr>
              <w:t>Wildlife Conservation Society</w:t>
            </w:r>
          </w:p>
        </w:tc>
        <w:tc>
          <w:tcPr>
            <w:tcW w:w="3402" w:type="dxa"/>
          </w:tcPr>
          <w:p w14:paraId="0D39DFF9" w14:textId="77777777" w:rsidR="00C01758" w:rsidRPr="00454100" w:rsidRDefault="00C01758" w:rsidP="00C01758">
            <w:pPr>
              <w:spacing w:before="120"/>
              <w:rPr>
                <w:rFonts w:cs="Arial"/>
                <w:color w:val="auto"/>
                <w:szCs w:val="20"/>
                <w:lang w:eastAsia="ja-JP"/>
              </w:rPr>
            </w:pPr>
            <w:r w:rsidRPr="00454100">
              <w:rPr>
                <w:rFonts w:cs="Arial"/>
                <w:color w:val="auto"/>
                <w:szCs w:val="20"/>
                <w:lang w:eastAsia="ja-JP"/>
              </w:rPr>
              <w:t>Mahmudur Rahman</w:t>
            </w:r>
          </w:p>
        </w:tc>
        <w:tc>
          <w:tcPr>
            <w:tcW w:w="4854" w:type="dxa"/>
          </w:tcPr>
          <w:p w14:paraId="0051FAA6" w14:textId="77777777" w:rsidR="00C01758" w:rsidRPr="00454100" w:rsidRDefault="00C01758" w:rsidP="00C01758">
            <w:pPr>
              <w:spacing w:before="120"/>
              <w:rPr>
                <w:rFonts w:cs="Arial"/>
                <w:color w:val="auto"/>
                <w:szCs w:val="20"/>
              </w:rPr>
            </w:pPr>
            <w:r w:rsidRPr="00454100">
              <w:rPr>
                <w:rFonts w:cs="Arial"/>
                <w:color w:val="auto"/>
                <w:szCs w:val="20"/>
              </w:rPr>
              <w:t>Extent, wildlife, UAV</w:t>
            </w:r>
          </w:p>
        </w:tc>
      </w:tr>
      <w:tr w:rsidR="00C01758" w:rsidRPr="00454100" w14:paraId="0793F330" w14:textId="77777777" w:rsidTr="00C01758">
        <w:trPr>
          <w:trHeight w:val="277"/>
        </w:trPr>
        <w:tc>
          <w:tcPr>
            <w:tcW w:w="1809" w:type="dxa"/>
          </w:tcPr>
          <w:p w14:paraId="578F9B75" w14:textId="77777777" w:rsidR="00C01758" w:rsidRPr="00454100" w:rsidRDefault="00C01758" w:rsidP="00C01758">
            <w:pPr>
              <w:spacing w:before="120"/>
              <w:rPr>
                <w:rFonts w:cs="Arial"/>
                <w:color w:val="auto"/>
                <w:szCs w:val="20"/>
                <w:lang w:eastAsia="ja-JP"/>
              </w:rPr>
            </w:pPr>
            <w:r w:rsidRPr="00454100">
              <w:rPr>
                <w:rFonts w:cs="Arial"/>
                <w:color w:val="auto"/>
                <w:szCs w:val="20"/>
                <w:lang w:eastAsia="ja-JP"/>
              </w:rPr>
              <w:t>Bangladesh</w:t>
            </w:r>
          </w:p>
        </w:tc>
        <w:tc>
          <w:tcPr>
            <w:tcW w:w="2835" w:type="dxa"/>
          </w:tcPr>
          <w:p w14:paraId="3B4BC367" w14:textId="77777777" w:rsidR="00C01758" w:rsidRPr="00454100" w:rsidRDefault="00C01758" w:rsidP="00C01758">
            <w:pPr>
              <w:spacing w:before="120"/>
              <w:rPr>
                <w:rFonts w:cs="Arial"/>
                <w:color w:val="auto"/>
                <w:szCs w:val="20"/>
                <w:lang w:eastAsia="ja-JP"/>
              </w:rPr>
            </w:pPr>
            <w:r w:rsidRPr="00454100">
              <w:rPr>
                <w:rFonts w:cs="Arial"/>
                <w:color w:val="auto"/>
                <w:szCs w:val="20"/>
              </w:rPr>
              <w:t>Wildlife Conservation Society</w:t>
            </w:r>
          </w:p>
        </w:tc>
        <w:tc>
          <w:tcPr>
            <w:tcW w:w="3402" w:type="dxa"/>
          </w:tcPr>
          <w:p w14:paraId="64940F79" w14:textId="77777777" w:rsidR="00C01758" w:rsidRPr="00454100" w:rsidRDefault="00C01758" w:rsidP="00C01758">
            <w:pPr>
              <w:spacing w:before="120"/>
              <w:rPr>
                <w:rFonts w:cs="Arial"/>
                <w:color w:val="auto"/>
                <w:szCs w:val="20"/>
                <w:lang w:eastAsia="ja-JP"/>
              </w:rPr>
            </w:pPr>
            <w:r w:rsidRPr="00454100">
              <w:rPr>
                <w:rFonts w:cs="Arial"/>
                <w:color w:val="auto"/>
                <w:szCs w:val="20"/>
                <w:lang w:eastAsia="ja-JP"/>
              </w:rPr>
              <w:t>Elisabeth Mansur</w:t>
            </w:r>
          </w:p>
        </w:tc>
        <w:tc>
          <w:tcPr>
            <w:tcW w:w="4854" w:type="dxa"/>
          </w:tcPr>
          <w:p w14:paraId="1F22729F" w14:textId="77777777" w:rsidR="00C01758" w:rsidRPr="00454100" w:rsidRDefault="00C01758" w:rsidP="00C01758">
            <w:pPr>
              <w:spacing w:before="120"/>
              <w:rPr>
                <w:rFonts w:cs="Arial"/>
                <w:color w:val="auto"/>
                <w:szCs w:val="20"/>
              </w:rPr>
            </w:pPr>
            <w:r w:rsidRPr="00454100">
              <w:rPr>
                <w:rFonts w:cs="Arial"/>
                <w:color w:val="auto"/>
                <w:szCs w:val="20"/>
              </w:rPr>
              <w:t>Wildlife, livelihoods</w:t>
            </w:r>
          </w:p>
        </w:tc>
      </w:tr>
      <w:tr w:rsidR="00C01758" w:rsidRPr="00454100" w14:paraId="5553E20B" w14:textId="77777777" w:rsidTr="00C01758">
        <w:trPr>
          <w:trHeight w:val="281"/>
        </w:trPr>
        <w:tc>
          <w:tcPr>
            <w:tcW w:w="1809" w:type="dxa"/>
          </w:tcPr>
          <w:p w14:paraId="51E53F78" w14:textId="77777777" w:rsidR="00C01758" w:rsidRPr="00454100" w:rsidRDefault="00C01758" w:rsidP="00C01758">
            <w:pPr>
              <w:spacing w:before="120"/>
              <w:rPr>
                <w:rFonts w:cs="Arial"/>
                <w:color w:val="auto"/>
                <w:szCs w:val="20"/>
                <w:lang w:eastAsia="ja-JP"/>
              </w:rPr>
            </w:pPr>
            <w:r w:rsidRPr="00454100">
              <w:rPr>
                <w:rFonts w:cs="Arial"/>
                <w:color w:val="auto"/>
                <w:szCs w:val="20"/>
                <w:lang w:eastAsia="ja-JP"/>
              </w:rPr>
              <w:t>Bangladesh</w:t>
            </w:r>
          </w:p>
        </w:tc>
        <w:tc>
          <w:tcPr>
            <w:tcW w:w="2835" w:type="dxa"/>
          </w:tcPr>
          <w:p w14:paraId="62C0BFEC" w14:textId="77777777" w:rsidR="00C01758" w:rsidRPr="00454100" w:rsidRDefault="00C01758" w:rsidP="00C01758">
            <w:pPr>
              <w:spacing w:before="120"/>
              <w:rPr>
                <w:rFonts w:cs="Arial"/>
                <w:color w:val="auto"/>
                <w:szCs w:val="20"/>
              </w:rPr>
            </w:pPr>
            <w:r w:rsidRPr="00454100">
              <w:rPr>
                <w:rFonts w:cs="Arial"/>
                <w:color w:val="auto"/>
                <w:szCs w:val="20"/>
              </w:rPr>
              <w:t>Wildlife Conservation Society</w:t>
            </w:r>
          </w:p>
        </w:tc>
        <w:tc>
          <w:tcPr>
            <w:tcW w:w="3402" w:type="dxa"/>
          </w:tcPr>
          <w:p w14:paraId="178FBF11" w14:textId="77777777" w:rsidR="00C01758" w:rsidRPr="00454100" w:rsidRDefault="00C01758" w:rsidP="00C01758">
            <w:pPr>
              <w:spacing w:before="120"/>
              <w:rPr>
                <w:rFonts w:cs="Arial"/>
                <w:color w:val="auto"/>
                <w:szCs w:val="20"/>
                <w:lang w:eastAsia="ja-JP"/>
              </w:rPr>
            </w:pPr>
            <w:r w:rsidRPr="00454100">
              <w:rPr>
                <w:rFonts w:cs="Arial"/>
                <w:color w:val="auto"/>
                <w:szCs w:val="20"/>
                <w:lang w:eastAsia="ja-JP"/>
              </w:rPr>
              <w:t>Manish Datta</w:t>
            </w:r>
          </w:p>
        </w:tc>
        <w:tc>
          <w:tcPr>
            <w:tcW w:w="4854" w:type="dxa"/>
          </w:tcPr>
          <w:p w14:paraId="00A1AC19" w14:textId="77777777" w:rsidR="00C01758" w:rsidRPr="00454100" w:rsidRDefault="00C01758" w:rsidP="00C01758">
            <w:pPr>
              <w:spacing w:before="120"/>
              <w:rPr>
                <w:rFonts w:cs="Arial"/>
                <w:color w:val="auto"/>
                <w:szCs w:val="20"/>
              </w:rPr>
            </w:pPr>
            <w:r w:rsidRPr="00454100">
              <w:rPr>
                <w:rFonts w:cs="Arial"/>
                <w:color w:val="auto"/>
                <w:szCs w:val="20"/>
              </w:rPr>
              <w:t>Livelihoods</w:t>
            </w:r>
          </w:p>
        </w:tc>
      </w:tr>
      <w:tr w:rsidR="00C01758" w:rsidRPr="00454100" w14:paraId="31591D0A" w14:textId="77777777" w:rsidTr="00C01758">
        <w:trPr>
          <w:trHeight w:val="258"/>
        </w:trPr>
        <w:tc>
          <w:tcPr>
            <w:tcW w:w="1809" w:type="dxa"/>
          </w:tcPr>
          <w:p w14:paraId="0E13AB39" w14:textId="77777777" w:rsidR="00C01758" w:rsidRPr="00454100" w:rsidRDefault="00C01758" w:rsidP="00C01758">
            <w:pPr>
              <w:spacing w:before="120"/>
              <w:rPr>
                <w:rFonts w:cs="Arial"/>
                <w:color w:val="auto"/>
                <w:szCs w:val="20"/>
                <w:lang w:eastAsia="ja-JP"/>
              </w:rPr>
            </w:pPr>
            <w:r w:rsidRPr="00454100">
              <w:rPr>
                <w:rFonts w:cs="Arial"/>
                <w:color w:val="auto"/>
                <w:szCs w:val="20"/>
                <w:lang w:eastAsia="ja-JP"/>
              </w:rPr>
              <w:t>Bangladesh</w:t>
            </w:r>
          </w:p>
        </w:tc>
        <w:tc>
          <w:tcPr>
            <w:tcW w:w="2835" w:type="dxa"/>
          </w:tcPr>
          <w:p w14:paraId="239C65E0" w14:textId="77777777" w:rsidR="00C01758" w:rsidRPr="00454100" w:rsidRDefault="00C01758" w:rsidP="00C01758">
            <w:pPr>
              <w:spacing w:before="120"/>
              <w:rPr>
                <w:rFonts w:cs="Arial"/>
                <w:color w:val="auto"/>
                <w:szCs w:val="20"/>
              </w:rPr>
            </w:pPr>
            <w:r w:rsidRPr="00454100">
              <w:rPr>
                <w:rFonts w:cs="Arial"/>
                <w:color w:val="auto"/>
                <w:szCs w:val="20"/>
              </w:rPr>
              <w:t>Wildlife Conservation Society</w:t>
            </w:r>
          </w:p>
        </w:tc>
        <w:tc>
          <w:tcPr>
            <w:tcW w:w="3402" w:type="dxa"/>
          </w:tcPr>
          <w:p w14:paraId="41FD16BF" w14:textId="77777777" w:rsidR="00C01758" w:rsidRPr="00454100" w:rsidRDefault="00C01758" w:rsidP="00C01758">
            <w:pPr>
              <w:spacing w:before="120"/>
              <w:rPr>
                <w:rFonts w:cs="Arial"/>
                <w:color w:val="auto"/>
                <w:szCs w:val="20"/>
                <w:lang w:eastAsia="ja-JP"/>
              </w:rPr>
            </w:pPr>
            <w:r w:rsidRPr="00454100">
              <w:rPr>
                <w:rFonts w:cs="Arial"/>
                <w:color w:val="auto"/>
                <w:szCs w:val="20"/>
                <w:lang w:eastAsia="ja-JP"/>
              </w:rPr>
              <w:t>Farhana Akhtar</w:t>
            </w:r>
          </w:p>
        </w:tc>
        <w:tc>
          <w:tcPr>
            <w:tcW w:w="4854" w:type="dxa"/>
          </w:tcPr>
          <w:p w14:paraId="255E6518" w14:textId="77777777" w:rsidR="00C01758" w:rsidRPr="00454100" w:rsidRDefault="00C01758" w:rsidP="00C01758">
            <w:pPr>
              <w:spacing w:before="120"/>
              <w:rPr>
                <w:rFonts w:cs="Arial"/>
                <w:color w:val="auto"/>
                <w:szCs w:val="20"/>
              </w:rPr>
            </w:pPr>
            <w:r w:rsidRPr="00454100">
              <w:rPr>
                <w:rFonts w:cs="Arial"/>
                <w:color w:val="auto"/>
                <w:szCs w:val="20"/>
              </w:rPr>
              <w:t>Livelihoods, Livelihood Sub-Team Co-Leader</w:t>
            </w:r>
          </w:p>
        </w:tc>
      </w:tr>
    </w:tbl>
    <w:p w14:paraId="42BBE1DF" w14:textId="6A734BE8" w:rsidR="00454100" w:rsidRDefault="00454100" w:rsidP="00BF0505">
      <w:pPr>
        <w:pStyle w:val="ochacontenttext"/>
        <w:jc w:val="both"/>
        <w:rPr>
          <w:rFonts w:eastAsiaTheme="minorHAnsi" w:cstheme="minorBidi"/>
          <w:sz w:val="22"/>
          <w:szCs w:val="22"/>
          <w:lang w:val="en-GB" w:eastAsia="en-US"/>
        </w:rPr>
      </w:pPr>
    </w:p>
    <w:p w14:paraId="6433F612" w14:textId="77777777" w:rsidR="00454100" w:rsidRDefault="00454100">
      <w:pPr>
        <w:spacing w:after="200" w:line="276" w:lineRule="auto"/>
        <w:rPr>
          <w:sz w:val="22"/>
          <w:lang w:val="en-GB"/>
        </w:rPr>
      </w:pPr>
      <w:r>
        <w:rPr>
          <w:sz w:val="22"/>
          <w:lang w:val="en-GB"/>
        </w:rPr>
        <w:br w:type="page"/>
      </w:r>
    </w:p>
    <w:p w14:paraId="67DED3E1" w14:textId="77777777" w:rsidR="006E3A7E" w:rsidRDefault="006E3A7E" w:rsidP="00BF0505">
      <w:pPr>
        <w:pStyle w:val="ochacontenttext"/>
        <w:jc w:val="both"/>
        <w:rPr>
          <w:rFonts w:eastAsiaTheme="minorHAnsi" w:cstheme="minorBidi"/>
          <w:sz w:val="22"/>
          <w:szCs w:val="22"/>
          <w:lang w:val="en-GB" w:eastAsia="en-US"/>
        </w:rPr>
      </w:pPr>
    </w:p>
    <w:p w14:paraId="089898B7" w14:textId="77777777" w:rsidR="0069525D" w:rsidRDefault="0069525D" w:rsidP="00454100">
      <w:pPr>
        <w:pStyle w:val="MediumGrid1-Accent21"/>
        <w:spacing w:before="360" w:after="240"/>
        <w:ind w:left="0"/>
        <w:contextualSpacing w:val="0"/>
        <w:jc w:val="both"/>
        <w:rPr>
          <w:rFonts w:ascii="Arial" w:hAnsi="Arial" w:cs="Arial"/>
          <w:b/>
          <w:sz w:val="20"/>
          <w:szCs w:val="20"/>
          <w:lang w:val="en-GB"/>
        </w:rPr>
      </w:pPr>
      <w:r>
        <w:rPr>
          <w:rFonts w:ascii="Arial" w:hAnsi="Arial" w:cs="Arial"/>
          <w:b/>
          <w:sz w:val="20"/>
          <w:szCs w:val="20"/>
          <w:lang w:val="en-GB"/>
        </w:rPr>
        <w:t>ANNEX 2. RECOMMENDATIONS</w:t>
      </w:r>
    </w:p>
    <w:p w14:paraId="4A178AA5" w14:textId="61276538" w:rsidR="00454100" w:rsidRPr="00454100" w:rsidRDefault="00454100" w:rsidP="00454100">
      <w:pPr>
        <w:pStyle w:val="MediumGrid1-Accent21"/>
        <w:spacing w:before="360" w:after="240"/>
        <w:ind w:left="0"/>
        <w:contextualSpacing w:val="0"/>
        <w:jc w:val="both"/>
        <w:rPr>
          <w:rFonts w:ascii="Arial" w:hAnsi="Arial" w:cs="Arial"/>
          <w:b/>
          <w:sz w:val="20"/>
          <w:szCs w:val="20"/>
          <w:lang w:val="en-GB"/>
        </w:rPr>
      </w:pPr>
      <w:r w:rsidRPr="00454100">
        <w:rPr>
          <w:rFonts w:ascii="Arial" w:hAnsi="Arial" w:cs="Arial"/>
          <w:b/>
          <w:sz w:val="20"/>
          <w:szCs w:val="20"/>
          <w:lang w:val="en-GB"/>
        </w:rPr>
        <w:t>ADDRESSING THE IMPACT OF THE SPILL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3"/>
        <w:gridCol w:w="4097"/>
        <w:gridCol w:w="3223"/>
        <w:gridCol w:w="6085"/>
      </w:tblGrid>
      <w:tr w:rsidR="00454100" w:rsidRPr="00454100" w14:paraId="24061E0A" w14:textId="77777777" w:rsidTr="00454100">
        <w:tc>
          <w:tcPr>
            <w:tcW w:w="138" w:type="pct"/>
            <w:shd w:val="clear" w:color="auto" w:fill="auto"/>
          </w:tcPr>
          <w:p w14:paraId="042EA899" w14:textId="77777777" w:rsidR="00454100" w:rsidRPr="00454100" w:rsidRDefault="00454100" w:rsidP="00454100">
            <w:pPr>
              <w:pStyle w:val="MediumGrid1-Accent21"/>
              <w:tabs>
                <w:tab w:val="left" w:pos="0"/>
                <w:tab w:val="left" w:pos="709"/>
              </w:tabs>
              <w:spacing w:before="120"/>
              <w:rPr>
                <w:rFonts w:ascii="Arial" w:eastAsia="Times New Roman" w:hAnsi="Arial" w:cs="Arial"/>
                <w:iCs/>
                <w:noProof/>
                <w:sz w:val="20"/>
                <w:szCs w:val="20"/>
                <w:lang w:val="en-US" w:eastAsia="en-GB"/>
              </w:rPr>
            </w:pPr>
          </w:p>
        </w:tc>
        <w:tc>
          <w:tcPr>
            <w:tcW w:w="1486" w:type="pct"/>
            <w:shd w:val="clear" w:color="auto" w:fill="auto"/>
          </w:tcPr>
          <w:p w14:paraId="0D06A218" w14:textId="77777777" w:rsidR="00454100" w:rsidRPr="00454100" w:rsidRDefault="00454100" w:rsidP="00454100">
            <w:pPr>
              <w:pStyle w:val="MediumGrid1-Accent21"/>
              <w:tabs>
                <w:tab w:val="left" w:pos="0"/>
                <w:tab w:val="left" w:pos="709"/>
              </w:tabs>
              <w:spacing w:before="120"/>
              <w:ind w:hanging="694"/>
              <w:rPr>
                <w:rFonts w:ascii="Arial" w:eastAsia="Times New Roman" w:hAnsi="Arial" w:cs="Arial"/>
                <w:b/>
                <w:iCs/>
                <w:noProof/>
                <w:sz w:val="20"/>
                <w:szCs w:val="20"/>
                <w:lang w:val="en-US" w:eastAsia="en-GB"/>
              </w:rPr>
            </w:pPr>
            <w:r w:rsidRPr="00454100">
              <w:rPr>
                <w:rFonts w:ascii="Arial" w:eastAsia="Times New Roman" w:hAnsi="Arial" w:cs="Arial"/>
                <w:b/>
                <w:iCs/>
                <w:noProof/>
                <w:sz w:val="20"/>
                <w:szCs w:val="20"/>
                <w:lang w:val="en-US" w:eastAsia="en-GB"/>
              </w:rPr>
              <w:t>Issue</w:t>
            </w:r>
          </w:p>
        </w:tc>
        <w:tc>
          <w:tcPr>
            <w:tcW w:w="1169" w:type="pct"/>
            <w:shd w:val="clear" w:color="auto" w:fill="auto"/>
          </w:tcPr>
          <w:p w14:paraId="52852226" w14:textId="77777777" w:rsidR="00454100" w:rsidRPr="00454100" w:rsidRDefault="00454100" w:rsidP="00454100">
            <w:pPr>
              <w:pStyle w:val="MediumGrid1-Accent21"/>
              <w:tabs>
                <w:tab w:val="left" w:pos="0"/>
                <w:tab w:val="left" w:pos="709"/>
              </w:tabs>
              <w:spacing w:before="120"/>
              <w:ind w:hanging="720"/>
              <w:rPr>
                <w:rFonts w:ascii="Arial" w:eastAsia="Times New Roman" w:hAnsi="Arial" w:cs="Arial"/>
                <w:b/>
                <w:iCs/>
                <w:noProof/>
                <w:sz w:val="20"/>
                <w:szCs w:val="20"/>
                <w:lang w:val="en-US" w:eastAsia="en-GB"/>
              </w:rPr>
            </w:pPr>
            <w:r w:rsidRPr="00454100">
              <w:rPr>
                <w:rFonts w:ascii="Arial" w:eastAsia="Times New Roman" w:hAnsi="Arial" w:cs="Arial"/>
                <w:b/>
                <w:iCs/>
                <w:noProof/>
                <w:sz w:val="20"/>
                <w:szCs w:val="20"/>
                <w:lang w:val="en-US" w:eastAsia="en-GB"/>
              </w:rPr>
              <w:t>Recommendation</w:t>
            </w:r>
          </w:p>
        </w:tc>
        <w:tc>
          <w:tcPr>
            <w:tcW w:w="2207" w:type="pct"/>
            <w:shd w:val="clear" w:color="auto" w:fill="auto"/>
          </w:tcPr>
          <w:p w14:paraId="587BE4D1" w14:textId="77777777" w:rsidR="00454100" w:rsidRPr="00454100" w:rsidRDefault="00454100" w:rsidP="00454100">
            <w:pPr>
              <w:pStyle w:val="MediumGrid1-Accent21"/>
              <w:tabs>
                <w:tab w:val="left" w:pos="0"/>
                <w:tab w:val="left" w:pos="709"/>
              </w:tabs>
              <w:spacing w:before="120"/>
              <w:ind w:hanging="720"/>
              <w:rPr>
                <w:rFonts w:ascii="Arial" w:eastAsia="Times New Roman" w:hAnsi="Arial" w:cs="Arial"/>
                <w:b/>
                <w:iCs/>
                <w:noProof/>
                <w:sz w:val="20"/>
                <w:szCs w:val="20"/>
                <w:lang w:val="en-US" w:eastAsia="en-GB"/>
              </w:rPr>
            </w:pPr>
            <w:r w:rsidRPr="00454100">
              <w:rPr>
                <w:rFonts w:ascii="Arial" w:eastAsia="Times New Roman" w:hAnsi="Arial" w:cs="Arial"/>
                <w:b/>
                <w:iCs/>
                <w:noProof/>
                <w:sz w:val="20"/>
                <w:szCs w:val="20"/>
                <w:lang w:val="en-US" w:eastAsia="en-GB"/>
              </w:rPr>
              <w:t>Additional information</w:t>
            </w:r>
          </w:p>
        </w:tc>
      </w:tr>
      <w:tr w:rsidR="00454100" w:rsidRPr="00454100" w14:paraId="5DCE60A8" w14:textId="77777777" w:rsidTr="00454100">
        <w:tc>
          <w:tcPr>
            <w:tcW w:w="138" w:type="pct"/>
            <w:shd w:val="clear" w:color="auto" w:fill="auto"/>
          </w:tcPr>
          <w:p w14:paraId="19BB1FA1" w14:textId="77777777" w:rsidR="00454100" w:rsidRPr="00454100" w:rsidRDefault="00454100" w:rsidP="00454100">
            <w:pPr>
              <w:pStyle w:val="MediumGrid1-Accent21"/>
              <w:tabs>
                <w:tab w:val="left" w:pos="0"/>
                <w:tab w:val="left" w:pos="709"/>
              </w:tabs>
              <w:ind w:hanging="720"/>
              <w:rPr>
                <w:rFonts w:ascii="Arial" w:eastAsia="Times New Roman" w:hAnsi="Arial" w:cs="Arial"/>
                <w:iCs/>
                <w:noProof/>
                <w:sz w:val="20"/>
                <w:szCs w:val="20"/>
                <w:lang w:val="en-US" w:eastAsia="en-GB"/>
              </w:rPr>
            </w:pPr>
            <w:r w:rsidRPr="00454100">
              <w:rPr>
                <w:rFonts w:ascii="Arial" w:eastAsia="Times New Roman" w:hAnsi="Arial" w:cs="Arial"/>
                <w:iCs/>
                <w:noProof/>
                <w:sz w:val="20"/>
                <w:szCs w:val="20"/>
                <w:lang w:val="en-US" w:eastAsia="en-GB"/>
              </w:rPr>
              <w:t>1.</w:t>
            </w:r>
          </w:p>
        </w:tc>
        <w:tc>
          <w:tcPr>
            <w:tcW w:w="1486" w:type="pct"/>
            <w:shd w:val="clear" w:color="auto" w:fill="auto"/>
          </w:tcPr>
          <w:p w14:paraId="3AB92D98" w14:textId="77777777" w:rsidR="00454100" w:rsidRPr="00454100" w:rsidRDefault="00454100" w:rsidP="00454100">
            <w:pPr>
              <w:pStyle w:val="MediumGrid1-Accent21"/>
              <w:tabs>
                <w:tab w:val="left" w:pos="709"/>
              </w:tabs>
              <w:spacing w:after="120"/>
              <w:ind w:left="0"/>
              <w:rPr>
                <w:rFonts w:ascii="Arial" w:eastAsia="Times New Roman" w:hAnsi="Arial" w:cs="Arial"/>
                <w:iCs/>
                <w:noProof/>
                <w:sz w:val="20"/>
                <w:szCs w:val="20"/>
                <w:lang w:eastAsia="en-GB"/>
              </w:rPr>
            </w:pPr>
            <w:r w:rsidRPr="00454100">
              <w:rPr>
                <w:rFonts w:ascii="Arial" w:eastAsia="Times New Roman" w:hAnsi="Arial" w:cs="Arial"/>
                <w:iCs/>
                <w:noProof/>
                <w:sz w:val="20"/>
                <w:szCs w:val="20"/>
                <w:lang w:eastAsia="en-GB"/>
              </w:rPr>
              <w:t>An estimated 30-50MT of oiled vegetation and other debris remains in temporary storage structures close to the communities. This will begin to decompose, pose a health hazard to local communities and remain a source of potential re-oiling of the area if the storage fails.</w:t>
            </w:r>
          </w:p>
        </w:tc>
        <w:tc>
          <w:tcPr>
            <w:tcW w:w="1169" w:type="pct"/>
            <w:shd w:val="clear" w:color="auto" w:fill="auto"/>
          </w:tcPr>
          <w:p w14:paraId="6D16EC58" w14:textId="77777777" w:rsidR="00454100" w:rsidRPr="00454100" w:rsidRDefault="00454100" w:rsidP="00454100">
            <w:pPr>
              <w:pStyle w:val="MediumGrid1-Accent21"/>
              <w:tabs>
                <w:tab w:val="left" w:pos="709"/>
              </w:tabs>
              <w:spacing w:after="120"/>
              <w:ind w:left="0"/>
              <w:rPr>
                <w:rFonts w:ascii="Arial" w:eastAsia="Times New Roman" w:hAnsi="Arial" w:cs="Arial"/>
                <w:iCs/>
                <w:noProof/>
                <w:sz w:val="20"/>
                <w:szCs w:val="20"/>
                <w:lang w:val="en-US" w:eastAsia="en-GB"/>
              </w:rPr>
            </w:pPr>
            <w:r w:rsidRPr="00454100">
              <w:rPr>
                <w:rFonts w:ascii="Arial" w:eastAsia="Times New Roman" w:hAnsi="Arial" w:cs="Arial"/>
                <w:b/>
                <w:iCs/>
                <w:noProof/>
                <w:sz w:val="20"/>
                <w:szCs w:val="20"/>
                <w:lang w:val="en-US" w:eastAsia="en-GB"/>
              </w:rPr>
              <w:t>Accelerate efforts to quickly and safely dispose of all solid oiled waste</w:t>
            </w:r>
            <w:r w:rsidRPr="00454100">
              <w:rPr>
                <w:rFonts w:ascii="Arial" w:eastAsia="Times New Roman" w:hAnsi="Arial" w:cs="Arial"/>
                <w:iCs/>
                <w:noProof/>
                <w:sz w:val="20"/>
                <w:szCs w:val="20"/>
                <w:lang w:val="en-US" w:eastAsia="en-GB"/>
              </w:rPr>
              <w:t xml:space="preserve"> and develop and implement a comprehensive management plan to ensure the waste does not re-contaminate the environment.</w:t>
            </w:r>
          </w:p>
          <w:p w14:paraId="2375DACA" w14:textId="77777777" w:rsidR="00454100" w:rsidRPr="00454100" w:rsidRDefault="00454100" w:rsidP="00454100">
            <w:pPr>
              <w:pStyle w:val="MediumGrid1-Accent21"/>
              <w:tabs>
                <w:tab w:val="left" w:pos="0"/>
                <w:tab w:val="left" w:pos="709"/>
              </w:tabs>
              <w:spacing w:before="120"/>
              <w:rPr>
                <w:rFonts w:ascii="Arial" w:eastAsia="Times New Roman" w:hAnsi="Arial" w:cs="Arial"/>
                <w:iCs/>
                <w:noProof/>
                <w:sz w:val="20"/>
                <w:szCs w:val="20"/>
                <w:lang w:val="en-US" w:eastAsia="en-GB"/>
              </w:rPr>
            </w:pPr>
          </w:p>
        </w:tc>
        <w:tc>
          <w:tcPr>
            <w:tcW w:w="2207" w:type="pct"/>
            <w:shd w:val="clear" w:color="auto" w:fill="auto"/>
          </w:tcPr>
          <w:p w14:paraId="7B5743BB" w14:textId="77777777" w:rsidR="00454100" w:rsidRPr="00454100" w:rsidRDefault="00454100" w:rsidP="00454100">
            <w:pPr>
              <w:pStyle w:val="MediumGrid1-Accent21"/>
              <w:tabs>
                <w:tab w:val="left" w:pos="0"/>
                <w:tab w:val="left" w:pos="709"/>
              </w:tabs>
              <w:spacing w:before="120"/>
              <w:ind w:left="0"/>
              <w:rPr>
                <w:rFonts w:ascii="Arial" w:eastAsia="Times New Roman" w:hAnsi="Arial" w:cs="Arial"/>
                <w:iCs/>
                <w:noProof/>
                <w:sz w:val="20"/>
                <w:szCs w:val="20"/>
                <w:lang w:val="en-US" w:eastAsia="en-GB"/>
              </w:rPr>
            </w:pPr>
            <w:r w:rsidRPr="00454100">
              <w:rPr>
                <w:rFonts w:ascii="Arial" w:eastAsia="Times New Roman" w:hAnsi="Arial" w:cs="Arial"/>
                <w:iCs/>
                <w:noProof/>
                <w:sz w:val="20"/>
                <w:szCs w:val="20"/>
                <w:lang w:val="en-US" w:eastAsia="en-GB"/>
              </w:rPr>
              <w:t xml:space="preserve">The MoEF, in coordination with other appropriate agencies, authorities and stakeholders, should develop a </w:t>
            </w:r>
            <w:r w:rsidRPr="00454100">
              <w:rPr>
                <w:rFonts w:ascii="Arial" w:eastAsia="Times New Roman" w:hAnsi="Arial" w:cs="Arial"/>
                <w:b/>
                <w:iCs/>
                <w:noProof/>
                <w:sz w:val="20"/>
                <w:szCs w:val="20"/>
                <w:lang w:val="en-US" w:eastAsia="en-GB"/>
              </w:rPr>
              <w:t>comprehensive management plan for the solid oiled wastes</w:t>
            </w:r>
            <w:r w:rsidRPr="00454100">
              <w:rPr>
                <w:rFonts w:ascii="Arial" w:eastAsia="Times New Roman" w:hAnsi="Arial" w:cs="Arial"/>
                <w:iCs/>
                <w:noProof/>
                <w:sz w:val="20"/>
                <w:szCs w:val="20"/>
                <w:lang w:val="en-US" w:eastAsia="en-GB"/>
              </w:rPr>
              <w:t xml:space="preserve"> generated from the spill and the community based response effort. This plan should include collected waste and all oiled materials and debris currently residing within the community.</w:t>
            </w:r>
          </w:p>
        </w:tc>
      </w:tr>
      <w:tr w:rsidR="00454100" w:rsidRPr="00454100" w14:paraId="2528BDD8" w14:textId="77777777" w:rsidTr="00454100">
        <w:tc>
          <w:tcPr>
            <w:tcW w:w="138" w:type="pct"/>
            <w:shd w:val="clear" w:color="auto" w:fill="auto"/>
          </w:tcPr>
          <w:p w14:paraId="515EF375" w14:textId="77777777" w:rsidR="00454100" w:rsidRPr="00454100" w:rsidRDefault="00454100" w:rsidP="00454100">
            <w:pPr>
              <w:pStyle w:val="MediumGrid1-Accent21"/>
              <w:tabs>
                <w:tab w:val="left" w:pos="0"/>
                <w:tab w:val="left" w:pos="709"/>
              </w:tabs>
              <w:ind w:hanging="720"/>
              <w:rPr>
                <w:rFonts w:ascii="Arial" w:eastAsia="Times New Roman" w:hAnsi="Arial" w:cs="Arial"/>
                <w:iCs/>
                <w:noProof/>
                <w:sz w:val="20"/>
                <w:szCs w:val="20"/>
                <w:lang w:val="en-US" w:eastAsia="en-GB"/>
              </w:rPr>
            </w:pPr>
            <w:r w:rsidRPr="00454100">
              <w:rPr>
                <w:rFonts w:ascii="Arial" w:eastAsia="Times New Roman" w:hAnsi="Arial" w:cs="Arial"/>
                <w:iCs/>
                <w:noProof/>
                <w:sz w:val="20"/>
                <w:szCs w:val="20"/>
                <w:lang w:val="en-US" w:eastAsia="en-GB"/>
              </w:rPr>
              <w:t xml:space="preserve">2. </w:t>
            </w:r>
          </w:p>
        </w:tc>
        <w:tc>
          <w:tcPr>
            <w:tcW w:w="1486" w:type="pct"/>
            <w:shd w:val="clear" w:color="auto" w:fill="auto"/>
          </w:tcPr>
          <w:p w14:paraId="42AEB4F5" w14:textId="77777777" w:rsidR="00454100" w:rsidRPr="00454100" w:rsidRDefault="00454100" w:rsidP="00454100">
            <w:pPr>
              <w:pStyle w:val="MediumGrid1-Accent21"/>
              <w:tabs>
                <w:tab w:val="left" w:pos="709"/>
              </w:tabs>
              <w:spacing w:after="120"/>
              <w:ind w:left="0"/>
              <w:rPr>
                <w:rFonts w:ascii="Arial" w:eastAsia="Times New Roman" w:hAnsi="Arial" w:cs="Arial"/>
                <w:iCs/>
                <w:noProof/>
                <w:sz w:val="20"/>
                <w:szCs w:val="20"/>
                <w:lang w:eastAsia="en-GB"/>
              </w:rPr>
            </w:pPr>
            <w:r w:rsidRPr="00454100">
              <w:rPr>
                <w:rFonts w:ascii="Arial" w:eastAsia="Times New Roman" w:hAnsi="Arial" w:cs="Arial"/>
                <w:iCs/>
                <w:noProof/>
                <w:sz w:val="20"/>
                <w:szCs w:val="20"/>
                <w:lang w:eastAsia="en-GB"/>
              </w:rPr>
              <w:t xml:space="preserve">The mission had only limited time to assess the scale and extent of oil spread through the area. </w:t>
            </w:r>
          </w:p>
          <w:p w14:paraId="4360F298" w14:textId="77777777" w:rsidR="00454100" w:rsidRPr="00454100" w:rsidRDefault="00454100" w:rsidP="00454100">
            <w:pPr>
              <w:pStyle w:val="MediumGrid1-Accent21"/>
              <w:tabs>
                <w:tab w:val="left" w:pos="709"/>
              </w:tabs>
              <w:spacing w:after="120"/>
              <w:rPr>
                <w:rFonts w:ascii="Arial" w:eastAsia="Times New Roman" w:hAnsi="Arial" w:cs="Arial"/>
                <w:iCs/>
                <w:noProof/>
                <w:sz w:val="20"/>
                <w:szCs w:val="20"/>
                <w:lang w:eastAsia="en-GB"/>
              </w:rPr>
            </w:pPr>
          </w:p>
        </w:tc>
        <w:tc>
          <w:tcPr>
            <w:tcW w:w="1169" w:type="pct"/>
            <w:shd w:val="clear" w:color="auto" w:fill="auto"/>
          </w:tcPr>
          <w:p w14:paraId="79479804" w14:textId="77777777" w:rsidR="00454100" w:rsidRPr="00454100" w:rsidRDefault="00454100" w:rsidP="00454100">
            <w:pPr>
              <w:pStyle w:val="MediumGrid1-Accent21"/>
              <w:tabs>
                <w:tab w:val="left" w:pos="709"/>
              </w:tabs>
              <w:spacing w:after="120"/>
              <w:ind w:left="0"/>
              <w:rPr>
                <w:rFonts w:ascii="Arial" w:eastAsia="Times New Roman" w:hAnsi="Arial" w:cs="Arial"/>
                <w:iCs/>
                <w:noProof/>
                <w:sz w:val="20"/>
                <w:szCs w:val="20"/>
                <w:lang w:val="en-US" w:eastAsia="en-GB"/>
              </w:rPr>
            </w:pPr>
            <w:r w:rsidRPr="00454100">
              <w:rPr>
                <w:rFonts w:ascii="Arial" w:eastAsia="Times New Roman" w:hAnsi="Arial" w:cs="Arial"/>
                <w:iCs/>
                <w:noProof/>
                <w:sz w:val="20"/>
                <w:szCs w:val="20"/>
                <w:lang w:eastAsia="en-GB"/>
              </w:rPr>
              <w:t xml:space="preserve">Continue </w:t>
            </w:r>
            <w:r w:rsidRPr="00454100">
              <w:rPr>
                <w:rFonts w:ascii="Arial" w:eastAsia="Times New Roman" w:hAnsi="Arial" w:cs="Arial"/>
                <w:b/>
                <w:iCs/>
                <w:noProof/>
                <w:sz w:val="20"/>
                <w:szCs w:val="20"/>
                <w:lang w:eastAsia="en-GB"/>
              </w:rPr>
              <w:t>oil spill surveillance</w:t>
            </w:r>
            <w:r w:rsidRPr="00454100">
              <w:rPr>
                <w:rFonts w:ascii="Arial" w:eastAsia="Times New Roman" w:hAnsi="Arial" w:cs="Arial"/>
                <w:iCs/>
                <w:noProof/>
                <w:sz w:val="20"/>
                <w:szCs w:val="20"/>
                <w:lang w:eastAsia="en-GB"/>
              </w:rPr>
              <w:t xml:space="preserve"> with the support of Forest Department, and tourism personnel.</w:t>
            </w:r>
          </w:p>
          <w:p w14:paraId="4A9FD9BF" w14:textId="77777777" w:rsidR="00454100" w:rsidRPr="00454100" w:rsidRDefault="00454100" w:rsidP="00454100">
            <w:pPr>
              <w:pStyle w:val="MediumGrid1-Accent21"/>
              <w:tabs>
                <w:tab w:val="left" w:pos="709"/>
              </w:tabs>
              <w:spacing w:after="120"/>
              <w:rPr>
                <w:rFonts w:ascii="Arial" w:eastAsia="Times New Roman" w:hAnsi="Arial" w:cs="Arial"/>
                <w:iCs/>
                <w:noProof/>
                <w:sz w:val="20"/>
                <w:szCs w:val="20"/>
                <w:lang w:val="en-US" w:eastAsia="en-GB"/>
              </w:rPr>
            </w:pPr>
          </w:p>
        </w:tc>
        <w:tc>
          <w:tcPr>
            <w:tcW w:w="2207" w:type="pct"/>
            <w:shd w:val="clear" w:color="auto" w:fill="auto"/>
          </w:tcPr>
          <w:p w14:paraId="71715DCF" w14:textId="77777777" w:rsidR="00454100" w:rsidRPr="00454100" w:rsidRDefault="00454100" w:rsidP="00454100">
            <w:pPr>
              <w:pStyle w:val="MediumGrid1-Accent21"/>
              <w:tabs>
                <w:tab w:val="left" w:pos="0"/>
                <w:tab w:val="left" w:pos="709"/>
              </w:tabs>
              <w:spacing w:before="120"/>
              <w:ind w:left="0"/>
              <w:rPr>
                <w:rFonts w:ascii="Arial" w:eastAsia="Times New Roman" w:hAnsi="Arial" w:cs="Arial"/>
                <w:iCs/>
                <w:noProof/>
                <w:sz w:val="20"/>
                <w:szCs w:val="20"/>
                <w:lang w:val="en-US" w:eastAsia="en-GB"/>
              </w:rPr>
            </w:pPr>
            <w:r w:rsidRPr="00454100">
              <w:rPr>
                <w:rFonts w:ascii="Arial" w:eastAsia="Times New Roman" w:hAnsi="Arial" w:cs="Arial"/>
                <w:iCs/>
                <w:noProof/>
                <w:sz w:val="20"/>
                <w:szCs w:val="20"/>
                <w:lang w:val="en-US" w:eastAsia="en-GB"/>
              </w:rPr>
              <w:t xml:space="preserve">An </w:t>
            </w:r>
            <w:r w:rsidRPr="00454100">
              <w:rPr>
                <w:rFonts w:ascii="Arial" w:eastAsia="Times New Roman" w:hAnsi="Arial" w:cs="Arial"/>
                <w:b/>
                <w:iCs/>
                <w:noProof/>
                <w:sz w:val="20"/>
                <w:szCs w:val="20"/>
                <w:lang w:val="en-US" w:eastAsia="en-GB"/>
              </w:rPr>
              <w:t>oil spill reporting system</w:t>
            </w:r>
            <w:r w:rsidRPr="00454100">
              <w:rPr>
                <w:rFonts w:ascii="Arial" w:eastAsia="Times New Roman" w:hAnsi="Arial" w:cs="Arial"/>
                <w:iCs/>
                <w:noProof/>
                <w:sz w:val="20"/>
                <w:szCs w:val="20"/>
                <w:lang w:val="en-US" w:eastAsia="en-GB"/>
              </w:rPr>
              <w:t xml:space="preserve"> should be set up as a mechanism for all relevant parties withn the Sundarbans to report observations of oil and other marine pollution.</w:t>
            </w:r>
          </w:p>
        </w:tc>
      </w:tr>
      <w:tr w:rsidR="00454100" w:rsidRPr="00454100" w14:paraId="5D686D5C" w14:textId="77777777" w:rsidTr="00454100">
        <w:tc>
          <w:tcPr>
            <w:tcW w:w="138" w:type="pct"/>
            <w:shd w:val="clear" w:color="auto" w:fill="auto"/>
          </w:tcPr>
          <w:p w14:paraId="2707D3D3" w14:textId="77777777" w:rsidR="00454100" w:rsidRPr="00454100" w:rsidRDefault="00454100" w:rsidP="00454100">
            <w:pPr>
              <w:pStyle w:val="MediumGrid1-Accent21"/>
              <w:tabs>
                <w:tab w:val="left" w:pos="0"/>
                <w:tab w:val="left" w:pos="709"/>
              </w:tabs>
              <w:ind w:hanging="720"/>
              <w:rPr>
                <w:rFonts w:ascii="Arial" w:eastAsia="Times New Roman" w:hAnsi="Arial" w:cs="Arial"/>
                <w:iCs/>
                <w:noProof/>
                <w:sz w:val="20"/>
                <w:szCs w:val="20"/>
                <w:lang w:val="en-US" w:eastAsia="en-GB"/>
              </w:rPr>
            </w:pPr>
            <w:r w:rsidRPr="00454100">
              <w:rPr>
                <w:rFonts w:ascii="Arial" w:eastAsia="Times New Roman" w:hAnsi="Arial" w:cs="Arial"/>
                <w:iCs/>
                <w:noProof/>
                <w:sz w:val="20"/>
                <w:szCs w:val="20"/>
                <w:lang w:val="en-US" w:eastAsia="en-GB"/>
              </w:rPr>
              <w:t>3.</w:t>
            </w:r>
          </w:p>
        </w:tc>
        <w:tc>
          <w:tcPr>
            <w:tcW w:w="1486" w:type="pct"/>
            <w:shd w:val="clear" w:color="auto" w:fill="auto"/>
          </w:tcPr>
          <w:p w14:paraId="7255FCA6" w14:textId="77777777" w:rsidR="00454100" w:rsidRPr="00454100" w:rsidRDefault="00454100" w:rsidP="00454100">
            <w:pPr>
              <w:pStyle w:val="MediumGrid1-Accent21"/>
              <w:tabs>
                <w:tab w:val="left" w:pos="709"/>
              </w:tabs>
              <w:spacing w:after="120"/>
              <w:ind w:left="0"/>
              <w:rPr>
                <w:rFonts w:ascii="Arial" w:eastAsia="Times New Roman" w:hAnsi="Arial" w:cs="Arial"/>
                <w:iCs/>
                <w:noProof/>
                <w:sz w:val="20"/>
                <w:szCs w:val="20"/>
                <w:lang w:val="en-US" w:eastAsia="en-GB"/>
              </w:rPr>
            </w:pPr>
            <w:r w:rsidRPr="00454100">
              <w:rPr>
                <w:rFonts w:ascii="Arial" w:eastAsia="Times New Roman" w:hAnsi="Arial" w:cs="Arial"/>
                <w:iCs/>
                <w:noProof/>
                <w:sz w:val="20"/>
                <w:szCs w:val="20"/>
                <w:lang w:val="en-US" w:eastAsia="en-GB"/>
              </w:rPr>
              <w:t>The mission found little evidence of immediate acute impacts of the oil spill on the environment. However, impacts on mangrove trees and other flora and fauna may be delayed.</w:t>
            </w:r>
          </w:p>
        </w:tc>
        <w:tc>
          <w:tcPr>
            <w:tcW w:w="1169" w:type="pct"/>
            <w:shd w:val="clear" w:color="auto" w:fill="auto"/>
          </w:tcPr>
          <w:p w14:paraId="67CA5294" w14:textId="77777777" w:rsidR="00454100" w:rsidRPr="00454100" w:rsidRDefault="00454100" w:rsidP="00454100">
            <w:pPr>
              <w:pStyle w:val="MediumGrid1-Accent21"/>
              <w:tabs>
                <w:tab w:val="left" w:pos="0"/>
                <w:tab w:val="left" w:pos="709"/>
              </w:tabs>
              <w:spacing w:before="120"/>
              <w:ind w:left="0"/>
              <w:rPr>
                <w:rFonts w:ascii="Arial" w:eastAsia="Times New Roman" w:hAnsi="Arial" w:cs="Arial"/>
                <w:iCs/>
                <w:noProof/>
                <w:sz w:val="20"/>
                <w:szCs w:val="20"/>
                <w:lang w:val="en-US" w:eastAsia="en-GB"/>
              </w:rPr>
            </w:pPr>
            <w:r w:rsidRPr="00454100">
              <w:rPr>
                <w:rFonts w:ascii="Arial" w:eastAsia="Times New Roman" w:hAnsi="Arial" w:cs="Arial"/>
                <w:iCs/>
                <w:noProof/>
                <w:sz w:val="20"/>
                <w:szCs w:val="20"/>
                <w:lang w:val="en-US" w:eastAsia="en-GB"/>
              </w:rPr>
              <w:t xml:space="preserve">Continue </w:t>
            </w:r>
            <w:r w:rsidRPr="00454100">
              <w:rPr>
                <w:rFonts w:ascii="Arial" w:eastAsia="Times New Roman" w:hAnsi="Arial" w:cs="Arial"/>
                <w:b/>
                <w:iCs/>
                <w:noProof/>
                <w:sz w:val="20"/>
                <w:szCs w:val="20"/>
                <w:lang w:val="en-US" w:eastAsia="en-GB"/>
              </w:rPr>
              <w:t>oil spill, mangrove and wildlife surveillance</w:t>
            </w:r>
            <w:r w:rsidRPr="00454100">
              <w:rPr>
                <w:rFonts w:ascii="Arial" w:eastAsia="Times New Roman" w:hAnsi="Arial" w:cs="Arial"/>
                <w:iCs/>
                <w:noProof/>
                <w:sz w:val="20"/>
                <w:szCs w:val="20"/>
                <w:lang w:val="en-US" w:eastAsia="en-GB"/>
              </w:rPr>
              <w:t xml:space="preserve"> with the support of Forest Department, and tourism personnel, and through planned and existing programs.</w:t>
            </w:r>
          </w:p>
        </w:tc>
        <w:tc>
          <w:tcPr>
            <w:tcW w:w="2207" w:type="pct"/>
            <w:shd w:val="clear" w:color="auto" w:fill="auto"/>
          </w:tcPr>
          <w:p w14:paraId="57CEF5B8" w14:textId="77777777" w:rsidR="00454100" w:rsidRPr="00454100" w:rsidRDefault="00454100" w:rsidP="00454100">
            <w:pPr>
              <w:pStyle w:val="MediumGrid1-Accent21"/>
              <w:tabs>
                <w:tab w:val="left" w:pos="0"/>
              </w:tabs>
              <w:spacing w:before="120" w:after="120"/>
              <w:ind w:left="0"/>
              <w:rPr>
                <w:rFonts w:ascii="Arial" w:eastAsia="Times New Roman" w:hAnsi="Arial" w:cs="Arial"/>
                <w:iCs/>
                <w:noProof/>
                <w:sz w:val="20"/>
                <w:szCs w:val="20"/>
                <w:lang w:val="en-US" w:eastAsia="en-GB"/>
              </w:rPr>
            </w:pPr>
            <w:r w:rsidRPr="00454100">
              <w:rPr>
                <w:rFonts w:ascii="Arial" w:eastAsia="Times New Roman" w:hAnsi="Arial" w:cs="Arial"/>
                <w:iCs/>
                <w:noProof/>
                <w:sz w:val="20"/>
                <w:szCs w:val="20"/>
                <w:lang w:val="en-US" w:eastAsia="en-GB"/>
              </w:rPr>
              <w:t xml:space="preserve">A </w:t>
            </w:r>
            <w:r w:rsidRPr="00454100">
              <w:rPr>
                <w:rFonts w:ascii="Arial" w:eastAsia="Times New Roman" w:hAnsi="Arial" w:cs="Arial"/>
                <w:b/>
                <w:iCs/>
                <w:noProof/>
                <w:sz w:val="20"/>
                <w:szCs w:val="20"/>
                <w:lang w:val="en-US" w:eastAsia="en-GB"/>
              </w:rPr>
              <w:t>re-survey</w:t>
            </w:r>
            <w:r w:rsidRPr="00454100">
              <w:rPr>
                <w:rFonts w:ascii="Arial" w:eastAsia="Times New Roman" w:hAnsi="Arial" w:cs="Arial"/>
                <w:iCs/>
                <w:noProof/>
                <w:sz w:val="20"/>
                <w:szCs w:val="20"/>
                <w:lang w:val="en-US" w:eastAsia="en-GB"/>
              </w:rPr>
              <w:t xml:space="preserve"> of affected mangrove areas should be conducted at different times over the next year, and particularly pre- and post-monsoon season. In the event of discernible impacts, restoration measures should be considered if relevant and practical.</w:t>
            </w:r>
          </w:p>
          <w:p w14:paraId="39B57AA5" w14:textId="77777777" w:rsidR="00454100" w:rsidRPr="00454100" w:rsidRDefault="00454100" w:rsidP="00454100">
            <w:pPr>
              <w:pStyle w:val="MediumGrid1-Accent21"/>
              <w:tabs>
                <w:tab w:val="left" w:pos="0"/>
              </w:tabs>
              <w:spacing w:before="120" w:after="120"/>
              <w:ind w:left="0"/>
              <w:rPr>
                <w:rFonts w:ascii="Arial" w:eastAsia="Times New Roman" w:hAnsi="Arial" w:cs="Arial"/>
                <w:iCs/>
                <w:noProof/>
                <w:sz w:val="20"/>
                <w:szCs w:val="20"/>
                <w:lang w:eastAsia="en-GB"/>
              </w:rPr>
            </w:pPr>
            <w:r w:rsidRPr="00454100">
              <w:rPr>
                <w:rFonts w:ascii="Arial" w:eastAsia="Times New Roman" w:hAnsi="Arial" w:cs="Arial"/>
                <w:iCs/>
                <w:noProof/>
                <w:sz w:val="20"/>
                <w:szCs w:val="20"/>
                <w:lang w:eastAsia="en-GB"/>
              </w:rPr>
              <w:t>Mortalities of key wildlife species in the area of heavy/ moderate oiling are to be reported and assessed for presence/ absence of oil.</w:t>
            </w:r>
          </w:p>
          <w:p w14:paraId="022EEDE0" w14:textId="77777777" w:rsidR="00454100" w:rsidRPr="00454100" w:rsidRDefault="00454100" w:rsidP="00454100">
            <w:pPr>
              <w:pStyle w:val="MediumGrid1-Accent21"/>
              <w:tabs>
                <w:tab w:val="left" w:pos="0"/>
                <w:tab w:val="left" w:pos="709"/>
              </w:tabs>
              <w:spacing w:before="120"/>
              <w:rPr>
                <w:rFonts w:ascii="Arial" w:eastAsia="Times New Roman" w:hAnsi="Arial" w:cs="Arial"/>
                <w:iCs/>
                <w:noProof/>
                <w:sz w:val="20"/>
                <w:szCs w:val="20"/>
                <w:lang w:val="en-US" w:eastAsia="en-GB"/>
              </w:rPr>
            </w:pPr>
          </w:p>
        </w:tc>
      </w:tr>
      <w:tr w:rsidR="00454100" w:rsidRPr="00454100" w14:paraId="0A33D8AA" w14:textId="77777777" w:rsidTr="00454100">
        <w:trPr>
          <w:trHeight w:val="672"/>
        </w:trPr>
        <w:tc>
          <w:tcPr>
            <w:tcW w:w="138" w:type="pct"/>
            <w:shd w:val="clear" w:color="auto" w:fill="auto"/>
          </w:tcPr>
          <w:p w14:paraId="0A384B1A" w14:textId="77777777" w:rsidR="00454100" w:rsidRPr="00454100" w:rsidRDefault="00454100" w:rsidP="00454100">
            <w:pPr>
              <w:pStyle w:val="MediumGrid1-Accent21"/>
              <w:tabs>
                <w:tab w:val="left" w:pos="0"/>
                <w:tab w:val="left" w:pos="709"/>
              </w:tabs>
              <w:ind w:hanging="720"/>
              <w:rPr>
                <w:rFonts w:ascii="Arial" w:eastAsia="Times New Roman" w:hAnsi="Arial" w:cs="Arial"/>
                <w:iCs/>
                <w:noProof/>
                <w:sz w:val="20"/>
                <w:szCs w:val="20"/>
                <w:lang w:val="en-US" w:eastAsia="en-GB"/>
              </w:rPr>
            </w:pPr>
            <w:r w:rsidRPr="00454100">
              <w:rPr>
                <w:rFonts w:ascii="Arial" w:eastAsia="Times New Roman" w:hAnsi="Arial" w:cs="Arial"/>
                <w:iCs/>
                <w:noProof/>
                <w:sz w:val="20"/>
                <w:szCs w:val="20"/>
                <w:lang w:val="en-US" w:eastAsia="en-GB"/>
              </w:rPr>
              <w:t>4.</w:t>
            </w:r>
          </w:p>
        </w:tc>
        <w:tc>
          <w:tcPr>
            <w:tcW w:w="1486" w:type="pct"/>
            <w:shd w:val="clear" w:color="auto" w:fill="auto"/>
          </w:tcPr>
          <w:p w14:paraId="2CA5E569" w14:textId="77777777" w:rsidR="00454100" w:rsidRPr="00454100" w:rsidRDefault="00454100" w:rsidP="00454100">
            <w:pPr>
              <w:pStyle w:val="MediumGrid1-Accent21"/>
              <w:spacing w:after="120"/>
              <w:ind w:left="0"/>
              <w:jc w:val="both"/>
              <w:rPr>
                <w:rFonts w:ascii="Arial" w:eastAsia="Times New Roman" w:hAnsi="Arial" w:cs="Arial"/>
                <w:iCs/>
                <w:noProof/>
                <w:sz w:val="20"/>
                <w:szCs w:val="20"/>
                <w:lang w:eastAsia="en-GB"/>
              </w:rPr>
            </w:pPr>
            <w:r w:rsidRPr="00454100">
              <w:rPr>
                <w:rFonts w:ascii="Arial" w:eastAsia="Times New Roman" w:hAnsi="Arial" w:cs="Arial"/>
                <w:iCs/>
                <w:noProof/>
                <w:sz w:val="20"/>
                <w:szCs w:val="20"/>
                <w:lang w:eastAsia="en-GB"/>
              </w:rPr>
              <w:t xml:space="preserve">Oiled nipa palm leaves still remain along the banks of the rivers in some areas. </w:t>
            </w:r>
          </w:p>
        </w:tc>
        <w:tc>
          <w:tcPr>
            <w:tcW w:w="1169" w:type="pct"/>
            <w:shd w:val="clear" w:color="auto" w:fill="auto"/>
          </w:tcPr>
          <w:p w14:paraId="735EB320" w14:textId="77777777" w:rsidR="00454100" w:rsidRPr="00454100" w:rsidRDefault="00454100" w:rsidP="00454100">
            <w:pPr>
              <w:pStyle w:val="MediumGrid1-Accent21"/>
              <w:spacing w:after="120"/>
              <w:ind w:left="0"/>
              <w:jc w:val="both"/>
              <w:rPr>
                <w:rFonts w:ascii="Arial" w:eastAsia="Times New Roman" w:hAnsi="Arial" w:cs="Arial"/>
                <w:iCs/>
                <w:noProof/>
                <w:sz w:val="20"/>
                <w:szCs w:val="20"/>
                <w:lang w:val="en-US" w:eastAsia="en-GB"/>
              </w:rPr>
            </w:pPr>
            <w:r w:rsidRPr="00454100">
              <w:rPr>
                <w:rFonts w:ascii="Arial" w:eastAsia="Times New Roman" w:hAnsi="Arial" w:cs="Arial"/>
                <w:b/>
                <w:iCs/>
                <w:noProof/>
                <w:sz w:val="20"/>
                <w:szCs w:val="20"/>
                <w:lang w:val="en-US" w:eastAsia="en-GB"/>
              </w:rPr>
              <w:t>Safely remove moderately to heavily oiled nipa leaves</w:t>
            </w:r>
            <w:r w:rsidRPr="00454100">
              <w:rPr>
                <w:rFonts w:ascii="Arial" w:eastAsia="Times New Roman" w:hAnsi="Arial" w:cs="Arial"/>
                <w:iCs/>
                <w:noProof/>
                <w:sz w:val="20"/>
                <w:szCs w:val="20"/>
                <w:lang w:val="en-US" w:eastAsia="en-GB"/>
              </w:rPr>
              <w:t xml:space="preserve"> and dispose of appropriately.</w:t>
            </w:r>
          </w:p>
          <w:p w14:paraId="130AC57E" w14:textId="77777777" w:rsidR="00454100" w:rsidRPr="00454100" w:rsidRDefault="00454100" w:rsidP="00454100">
            <w:pPr>
              <w:pStyle w:val="MediumGrid1-Accent21"/>
              <w:tabs>
                <w:tab w:val="left" w:pos="0"/>
                <w:tab w:val="left" w:pos="709"/>
              </w:tabs>
              <w:spacing w:before="120"/>
              <w:rPr>
                <w:rFonts w:ascii="Arial" w:eastAsia="Times New Roman" w:hAnsi="Arial" w:cs="Arial"/>
                <w:iCs/>
                <w:noProof/>
                <w:sz w:val="20"/>
                <w:szCs w:val="20"/>
                <w:lang w:val="en-US" w:eastAsia="en-GB"/>
              </w:rPr>
            </w:pPr>
          </w:p>
        </w:tc>
        <w:tc>
          <w:tcPr>
            <w:tcW w:w="2207" w:type="pct"/>
            <w:shd w:val="clear" w:color="auto" w:fill="auto"/>
          </w:tcPr>
          <w:p w14:paraId="1F4737C9" w14:textId="77777777" w:rsidR="00454100" w:rsidRPr="00454100" w:rsidRDefault="00454100" w:rsidP="00454100">
            <w:pPr>
              <w:pStyle w:val="MediumGrid1-Accent21"/>
              <w:tabs>
                <w:tab w:val="left" w:pos="0"/>
                <w:tab w:val="left" w:pos="709"/>
              </w:tabs>
              <w:spacing w:before="120"/>
              <w:ind w:left="0"/>
              <w:rPr>
                <w:rFonts w:ascii="Arial" w:eastAsia="Times New Roman" w:hAnsi="Arial" w:cs="Arial"/>
                <w:iCs/>
                <w:noProof/>
                <w:sz w:val="20"/>
                <w:szCs w:val="20"/>
                <w:lang w:val="en-US" w:eastAsia="en-GB"/>
              </w:rPr>
            </w:pPr>
            <w:r w:rsidRPr="00454100">
              <w:rPr>
                <w:rFonts w:ascii="Arial" w:eastAsia="Times New Roman" w:hAnsi="Arial" w:cs="Arial"/>
                <w:iCs/>
                <w:noProof/>
                <w:sz w:val="20"/>
                <w:szCs w:val="20"/>
                <w:lang w:val="en-US" w:eastAsia="en-GB"/>
              </w:rPr>
              <w:t xml:space="preserve">An </w:t>
            </w:r>
            <w:r w:rsidRPr="00454100">
              <w:rPr>
                <w:rFonts w:ascii="Arial" w:eastAsia="Times New Roman" w:hAnsi="Arial" w:cs="Arial"/>
                <w:b/>
                <w:iCs/>
                <w:noProof/>
                <w:sz w:val="20"/>
                <w:szCs w:val="20"/>
                <w:lang w:val="en-US" w:eastAsia="en-GB"/>
              </w:rPr>
              <w:t>existing harvest program</w:t>
            </w:r>
            <w:r w:rsidRPr="00454100">
              <w:rPr>
                <w:rFonts w:ascii="Arial" w:eastAsia="Times New Roman" w:hAnsi="Arial" w:cs="Arial"/>
                <w:iCs/>
                <w:noProof/>
                <w:sz w:val="20"/>
                <w:szCs w:val="20"/>
                <w:lang w:val="en-US" w:eastAsia="en-GB"/>
              </w:rPr>
              <w:t xml:space="preserve"> for nipa can be used as a vehicle for the removal of oiled nipa in the spill-affected area. However, the oiled vegetation should be handled differently and will have a separate waste stream dependent on the availability and capacity of safe disposal facilities.  Established practices for nipa harvest (i.e., the requirement to leave two leaves intact) should be followed. Also, reference areas in which oiled nipa plants will be left untreated should be designated in order to provide insights for management of nipa in future spill events.</w:t>
            </w:r>
          </w:p>
        </w:tc>
      </w:tr>
      <w:tr w:rsidR="00454100" w:rsidRPr="00454100" w14:paraId="709A26BE" w14:textId="77777777" w:rsidTr="00454100">
        <w:trPr>
          <w:trHeight w:val="671"/>
        </w:trPr>
        <w:tc>
          <w:tcPr>
            <w:tcW w:w="138" w:type="pct"/>
            <w:shd w:val="clear" w:color="auto" w:fill="auto"/>
          </w:tcPr>
          <w:p w14:paraId="14434E65" w14:textId="40A29196" w:rsidR="00454100" w:rsidRPr="00454100" w:rsidRDefault="00454100" w:rsidP="00454100">
            <w:pPr>
              <w:pStyle w:val="MediumGrid1-Accent21"/>
              <w:tabs>
                <w:tab w:val="left" w:pos="0"/>
                <w:tab w:val="left" w:pos="709"/>
              </w:tabs>
              <w:ind w:hanging="720"/>
              <w:rPr>
                <w:rFonts w:ascii="Arial" w:eastAsia="Times New Roman" w:hAnsi="Arial" w:cs="Arial"/>
                <w:iCs/>
                <w:noProof/>
                <w:sz w:val="20"/>
                <w:szCs w:val="20"/>
                <w:lang w:val="en-US" w:eastAsia="en-GB"/>
              </w:rPr>
            </w:pPr>
            <w:r w:rsidRPr="00454100">
              <w:rPr>
                <w:rFonts w:ascii="Arial" w:eastAsia="Times New Roman" w:hAnsi="Arial" w:cs="Arial"/>
                <w:iCs/>
                <w:noProof/>
                <w:sz w:val="20"/>
                <w:szCs w:val="20"/>
                <w:lang w:val="en-US" w:eastAsia="en-GB"/>
              </w:rPr>
              <w:t>5.</w:t>
            </w:r>
          </w:p>
        </w:tc>
        <w:tc>
          <w:tcPr>
            <w:tcW w:w="1486" w:type="pct"/>
            <w:shd w:val="clear" w:color="auto" w:fill="auto"/>
          </w:tcPr>
          <w:p w14:paraId="75233468" w14:textId="37B7FA37" w:rsidR="00454100" w:rsidRPr="00454100" w:rsidRDefault="00454100" w:rsidP="00454100">
            <w:pPr>
              <w:pStyle w:val="MediumGrid1-Accent21"/>
              <w:spacing w:after="120"/>
              <w:ind w:left="0"/>
              <w:jc w:val="both"/>
              <w:rPr>
                <w:rFonts w:ascii="Arial" w:eastAsia="Times New Roman" w:hAnsi="Arial" w:cs="Arial"/>
                <w:iCs/>
                <w:noProof/>
                <w:sz w:val="20"/>
                <w:szCs w:val="20"/>
                <w:lang w:eastAsia="en-GB"/>
              </w:rPr>
            </w:pPr>
            <w:r w:rsidRPr="00454100">
              <w:rPr>
                <w:rFonts w:ascii="Arial" w:eastAsia="Times New Roman" w:hAnsi="Arial" w:cs="Arial"/>
                <w:iCs/>
                <w:noProof/>
                <w:sz w:val="20"/>
                <w:szCs w:val="20"/>
                <w:lang w:eastAsia="en-GB"/>
              </w:rPr>
              <w:t>The local villagers collecting and extracting the spilled oil did so without protective equipment and have reported health problems.</w:t>
            </w:r>
          </w:p>
        </w:tc>
        <w:tc>
          <w:tcPr>
            <w:tcW w:w="1169" w:type="pct"/>
            <w:shd w:val="clear" w:color="auto" w:fill="auto"/>
          </w:tcPr>
          <w:p w14:paraId="629E7111" w14:textId="2806D7D7" w:rsidR="00454100" w:rsidRPr="00454100" w:rsidRDefault="00454100" w:rsidP="00454100">
            <w:pPr>
              <w:pStyle w:val="MediumGrid1-Accent21"/>
              <w:spacing w:after="120"/>
              <w:ind w:left="0"/>
              <w:jc w:val="both"/>
              <w:rPr>
                <w:rFonts w:ascii="Arial" w:eastAsia="Times New Roman" w:hAnsi="Arial" w:cs="Arial"/>
                <w:b/>
                <w:iCs/>
                <w:noProof/>
                <w:sz w:val="20"/>
                <w:szCs w:val="20"/>
                <w:lang w:val="en-US" w:eastAsia="en-GB"/>
              </w:rPr>
            </w:pPr>
            <w:r w:rsidRPr="00454100">
              <w:rPr>
                <w:rFonts w:ascii="Arial" w:eastAsia="Times New Roman" w:hAnsi="Arial" w:cs="Arial"/>
                <w:b/>
                <w:iCs/>
                <w:noProof/>
                <w:sz w:val="20"/>
                <w:szCs w:val="20"/>
                <w:lang w:val="en-US" w:eastAsia="en-GB"/>
              </w:rPr>
              <w:t>Support community responders with health check-ups</w:t>
            </w:r>
            <w:r w:rsidRPr="00454100">
              <w:rPr>
                <w:rFonts w:ascii="Arial" w:eastAsia="Times New Roman" w:hAnsi="Arial" w:cs="Arial"/>
                <w:iCs/>
                <w:noProof/>
                <w:sz w:val="20"/>
                <w:szCs w:val="20"/>
                <w:lang w:val="en-US" w:eastAsia="en-GB"/>
              </w:rPr>
              <w:t xml:space="preserve"> and initiate a community health monitoring program.</w:t>
            </w:r>
          </w:p>
        </w:tc>
        <w:tc>
          <w:tcPr>
            <w:tcW w:w="2207" w:type="pct"/>
            <w:shd w:val="clear" w:color="auto" w:fill="auto"/>
          </w:tcPr>
          <w:p w14:paraId="7364799B" w14:textId="29930E00" w:rsidR="00454100" w:rsidRPr="00454100" w:rsidRDefault="00454100" w:rsidP="00454100">
            <w:pPr>
              <w:pStyle w:val="MediumGrid1-Accent21"/>
              <w:tabs>
                <w:tab w:val="left" w:pos="0"/>
                <w:tab w:val="left" w:pos="709"/>
              </w:tabs>
              <w:spacing w:before="120"/>
              <w:ind w:left="0"/>
              <w:rPr>
                <w:rFonts w:ascii="Arial" w:eastAsia="Times New Roman" w:hAnsi="Arial" w:cs="Arial"/>
                <w:iCs/>
                <w:noProof/>
                <w:sz w:val="20"/>
                <w:szCs w:val="20"/>
                <w:lang w:val="en-US" w:eastAsia="en-GB"/>
              </w:rPr>
            </w:pPr>
            <w:r w:rsidRPr="00454100">
              <w:rPr>
                <w:rFonts w:ascii="Arial" w:eastAsia="Times New Roman" w:hAnsi="Arial" w:cs="Arial"/>
                <w:iCs/>
                <w:noProof/>
                <w:sz w:val="20"/>
                <w:szCs w:val="20"/>
                <w:lang w:eastAsia="en-GB"/>
              </w:rPr>
              <w:t xml:space="preserve">An </w:t>
            </w:r>
            <w:r w:rsidRPr="00454100">
              <w:rPr>
                <w:rFonts w:ascii="Arial" w:eastAsia="Times New Roman" w:hAnsi="Arial" w:cs="Arial"/>
                <w:b/>
                <w:iCs/>
                <w:noProof/>
                <w:sz w:val="20"/>
                <w:szCs w:val="20"/>
                <w:lang w:eastAsia="en-GB"/>
              </w:rPr>
              <w:t>intensive health study</w:t>
            </w:r>
            <w:r w:rsidRPr="00454100">
              <w:rPr>
                <w:rFonts w:ascii="Arial" w:eastAsia="Times New Roman" w:hAnsi="Arial" w:cs="Arial"/>
                <w:iCs/>
                <w:noProof/>
                <w:sz w:val="20"/>
                <w:szCs w:val="20"/>
                <w:lang w:eastAsia="en-GB"/>
              </w:rPr>
              <w:t xml:space="preserve"> is required to be conducted as early as possible for oil collectors and affected communities to idenitfy any health effects attributable to the oil spill. Based on the findings, a long-term health monitoring program can be initiated.</w:t>
            </w:r>
          </w:p>
        </w:tc>
      </w:tr>
    </w:tbl>
    <w:p w14:paraId="020B9F8B" w14:textId="11867CB4" w:rsidR="00454100" w:rsidRPr="00454100" w:rsidRDefault="00454100" w:rsidP="00454100">
      <w:pPr>
        <w:rPr>
          <w:rFonts w:cs="Arial"/>
          <w:szCs w:val="20"/>
        </w:rPr>
      </w:pPr>
    </w:p>
    <w:p w14:paraId="67C3CD6E" w14:textId="77777777" w:rsidR="00454100" w:rsidRDefault="00454100" w:rsidP="00454100">
      <w:pPr>
        <w:pStyle w:val="MediumGrid1-Accent21"/>
        <w:tabs>
          <w:tab w:val="left" w:pos="0"/>
          <w:tab w:val="left" w:pos="709"/>
        </w:tabs>
        <w:spacing w:before="120" w:after="120"/>
        <w:jc w:val="both"/>
        <w:rPr>
          <w:rFonts w:ascii="Arial" w:eastAsia="Times New Roman" w:hAnsi="Arial" w:cs="Arial"/>
          <w:iCs/>
          <w:noProof/>
          <w:sz w:val="20"/>
          <w:szCs w:val="20"/>
          <w:lang w:eastAsia="en-GB"/>
        </w:rPr>
      </w:pPr>
    </w:p>
    <w:p w14:paraId="098CE700" w14:textId="77777777" w:rsidR="00454100" w:rsidRPr="00454100" w:rsidRDefault="00454100" w:rsidP="00454100">
      <w:pPr>
        <w:pStyle w:val="MediumGrid1-Accent21"/>
        <w:tabs>
          <w:tab w:val="left" w:pos="0"/>
          <w:tab w:val="left" w:pos="709"/>
        </w:tabs>
        <w:spacing w:before="120" w:after="120"/>
        <w:jc w:val="both"/>
        <w:rPr>
          <w:rFonts w:ascii="Arial" w:eastAsia="Times New Roman" w:hAnsi="Arial" w:cs="Arial"/>
          <w:iCs/>
          <w:noProof/>
          <w:sz w:val="20"/>
          <w:szCs w:val="20"/>
          <w:lang w:eastAsia="en-GB"/>
        </w:rPr>
      </w:pPr>
    </w:p>
    <w:p w14:paraId="5DACE31B" w14:textId="77777777" w:rsidR="00454100" w:rsidRPr="00454100" w:rsidRDefault="00454100" w:rsidP="00454100">
      <w:pPr>
        <w:pStyle w:val="MediumGrid1-Accent21"/>
        <w:spacing w:before="360" w:after="240"/>
        <w:ind w:left="0"/>
        <w:contextualSpacing w:val="0"/>
        <w:jc w:val="both"/>
        <w:rPr>
          <w:rFonts w:ascii="Arial" w:hAnsi="Arial" w:cs="Arial"/>
          <w:b/>
          <w:sz w:val="20"/>
          <w:szCs w:val="20"/>
          <w:lang w:val="en-GB"/>
        </w:rPr>
      </w:pPr>
      <w:r w:rsidRPr="00454100">
        <w:rPr>
          <w:rFonts w:ascii="Arial" w:hAnsi="Arial" w:cs="Arial"/>
          <w:b/>
          <w:sz w:val="20"/>
          <w:szCs w:val="20"/>
          <w:lang w:val="en-GB"/>
        </w:rPr>
        <w:t>REDUCE RISK GOING FORWARD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
        <w:gridCol w:w="3287"/>
        <w:gridCol w:w="4200"/>
        <w:gridCol w:w="5805"/>
      </w:tblGrid>
      <w:tr w:rsidR="00454100" w:rsidRPr="00454100" w14:paraId="3ECFA84E" w14:textId="77777777" w:rsidTr="00454100">
        <w:tc>
          <w:tcPr>
            <w:tcW w:w="180" w:type="pct"/>
            <w:shd w:val="clear" w:color="auto" w:fill="auto"/>
          </w:tcPr>
          <w:p w14:paraId="4C915D19" w14:textId="77777777" w:rsidR="00454100" w:rsidRPr="00454100" w:rsidRDefault="00454100" w:rsidP="00454100">
            <w:pPr>
              <w:pStyle w:val="MediumGrid1-Accent21"/>
              <w:tabs>
                <w:tab w:val="left" w:pos="0"/>
                <w:tab w:val="left" w:pos="709"/>
              </w:tabs>
              <w:spacing w:before="120"/>
              <w:rPr>
                <w:rFonts w:ascii="Arial" w:eastAsia="Times New Roman" w:hAnsi="Arial" w:cs="Arial"/>
                <w:iCs/>
                <w:noProof/>
                <w:sz w:val="20"/>
                <w:szCs w:val="20"/>
                <w:lang w:val="en-US" w:eastAsia="en-GB"/>
              </w:rPr>
            </w:pPr>
          </w:p>
        </w:tc>
        <w:tc>
          <w:tcPr>
            <w:tcW w:w="1192" w:type="pct"/>
            <w:shd w:val="clear" w:color="auto" w:fill="auto"/>
          </w:tcPr>
          <w:p w14:paraId="7FAD5D32" w14:textId="77777777" w:rsidR="00454100" w:rsidRPr="00454100" w:rsidRDefault="00454100" w:rsidP="00454100">
            <w:pPr>
              <w:pStyle w:val="MediumGrid1-Accent21"/>
              <w:tabs>
                <w:tab w:val="left" w:pos="0"/>
                <w:tab w:val="left" w:pos="709"/>
              </w:tabs>
              <w:spacing w:before="120"/>
              <w:ind w:hanging="720"/>
              <w:rPr>
                <w:rFonts w:ascii="Arial" w:eastAsia="Times New Roman" w:hAnsi="Arial" w:cs="Arial"/>
                <w:b/>
                <w:iCs/>
                <w:noProof/>
                <w:sz w:val="20"/>
                <w:szCs w:val="20"/>
                <w:lang w:val="en-US" w:eastAsia="en-GB"/>
              </w:rPr>
            </w:pPr>
            <w:r w:rsidRPr="00454100">
              <w:rPr>
                <w:rFonts w:ascii="Arial" w:eastAsia="Times New Roman" w:hAnsi="Arial" w:cs="Arial"/>
                <w:b/>
                <w:iCs/>
                <w:noProof/>
                <w:sz w:val="20"/>
                <w:szCs w:val="20"/>
                <w:lang w:val="en-US" w:eastAsia="en-GB"/>
              </w:rPr>
              <w:t>Issue</w:t>
            </w:r>
          </w:p>
        </w:tc>
        <w:tc>
          <w:tcPr>
            <w:tcW w:w="1523" w:type="pct"/>
            <w:shd w:val="clear" w:color="auto" w:fill="auto"/>
          </w:tcPr>
          <w:p w14:paraId="38DD548E" w14:textId="77777777" w:rsidR="00454100" w:rsidRPr="00454100" w:rsidRDefault="00454100" w:rsidP="00454100">
            <w:pPr>
              <w:pStyle w:val="MediumGrid1-Accent21"/>
              <w:tabs>
                <w:tab w:val="left" w:pos="0"/>
                <w:tab w:val="left" w:pos="709"/>
              </w:tabs>
              <w:spacing w:before="120"/>
              <w:ind w:hanging="720"/>
              <w:rPr>
                <w:rFonts w:ascii="Arial" w:eastAsia="Times New Roman" w:hAnsi="Arial" w:cs="Arial"/>
                <w:b/>
                <w:iCs/>
                <w:noProof/>
                <w:sz w:val="20"/>
                <w:szCs w:val="20"/>
                <w:lang w:val="en-US" w:eastAsia="en-GB"/>
              </w:rPr>
            </w:pPr>
            <w:r w:rsidRPr="00454100">
              <w:rPr>
                <w:rFonts w:ascii="Arial" w:eastAsia="Times New Roman" w:hAnsi="Arial" w:cs="Arial"/>
                <w:b/>
                <w:iCs/>
                <w:noProof/>
                <w:sz w:val="20"/>
                <w:szCs w:val="20"/>
                <w:lang w:val="en-US" w:eastAsia="en-GB"/>
              </w:rPr>
              <w:t>Recommendation</w:t>
            </w:r>
          </w:p>
        </w:tc>
        <w:tc>
          <w:tcPr>
            <w:tcW w:w="2105" w:type="pct"/>
            <w:shd w:val="clear" w:color="auto" w:fill="auto"/>
          </w:tcPr>
          <w:p w14:paraId="1E019C23" w14:textId="77777777" w:rsidR="00454100" w:rsidRPr="00454100" w:rsidRDefault="00454100" w:rsidP="00454100">
            <w:pPr>
              <w:pStyle w:val="MediumGrid1-Accent21"/>
              <w:tabs>
                <w:tab w:val="left" w:pos="0"/>
                <w:tab w:val="left" w:pos="709"/>
              </w:tabs>
              <w:spacing w:before="120"/>
              <w:ind w:hanging="720"/>
              <w:rPr>
                <w:rFonts w:ascii="Arial" w:eastAsia="Times New Roman" w:hAnsi="Arial" w:cs="Arial"/>
                <w:b/>
                <w:iCs/>
                <w:noProof/>
                <w:sz w:val="20"/>
                <w:szCs w:val="20"/>
                <w:lang w:val="en-US" w:eastAsia="en-GB"/>
              </w:rPr>
            </w:pPr>
            <w:r w:rsidRPr="00454100">
              <w:rPr>
                <w:rFonts w:ascii="Arial" w:eastAsia="Times New Roman" w:hAnsi="Arial" w:cs="Arial"/>
                <w:b/>
                <w:iCs/>
                <w:noProof/>
                <w:sz w:val="20"/>
                <w:szCs w:val="20"/>
                <w:lang w:val="en-US" w:eastAsia="en-GB"/>
              </w:rPr>
              <w:t>Additional information</w:t>
            </w:r>
          </w:p>
        </w:tc>
      </w:tr>
      <w:tr w:rsidR="00454100" w:rsidRPr="00454100" w14:paraId="1FF8ACBD" w14:textId="77777777" w:rsidTr="00454100">
        <w:tc>
          <w:tcPr>
            <w:tcW w:w="180" w:type="pct"/>
            <w:shd w:val="clear" w:color="auto" w:fill="auto"/>
          </w:tcPr>
          <w:p w14:paraId="3F789E04" w14:textId="77777777" w:rsidR="00454100" w:rsidRPr="00454100" w:rsidRDefault="00454100" w:rsidP="00454100">
            <w:pPr>
              <w:pStyle w:val="MediumGrid1-Accent21"/>
              <w:tabs>
                <w:tab w:val="left" w:pos="0"/>
                <w:tab w:val="left" w:pos="709"/>
              </w:tabs>
              <w:ind w:hanging="720"/>
              <w:rPr>
                <w:rFonts w:ascii="Arial" w:eastAsia="Times New Roman" w:hAnsi="Arial" w:cs="Arial"/>
                <w:iCs/>
                <w:noProof/>
                <w:sz w:val="20"/>
                <w:szCs w:val="20"/>
                <w:lang w:val="en-US" w:eastAsia="en-GB"/>
              </w:rPr>
            </w:pPr>
            <w:r w:rsidRPr="00454100">
              <w:rPr>
                <w:rFonts w:ascii="Arial" w:eastAsia="Times New Roman" w:hAnsi="Arial" w:cs="Arial"/>
                <w:iCs/>
                <w:noProof/>
                <w:sz w:val="20"/>
                <w:szCs w:val="20"/>
                <w:lang w:val="en-US" w:eastAsia="en-GB"/>
              </w:rPr>
              <w:t>6.</w:t>
            </w:r>
          </w:p>
        </w:tc>
        <w:tc>
          <w:tcPr>
            <w:tcW w:w="1192" w:type="pct"/>
            <w:shd w:val="clear" w:color="auto" w:fill="auto"/>
          </w:tcPr>
          <w:p w14:paraId="1152C597" w14:textId="77777777" w:rsidR="00454100" w:rsidRPr="00454100" w:rsidRDefault="00454100" w:rsidP="00454100">
            <w:pPr>
              <w:pStyle w:val="MediumGrid1-Accent21"/>
              <w:tabs>
                <w:tab w:val="left" w:pos="709"/>
              </w:tabs>
              <w:spacing w:after="120"/>
              <w:ind w:left="0"/>
              <w:rPr>
                <w:rFonts w:ascii="Arial" w:eastAsia="Times New Roman" w:hAnsi="Arial" w:cs="Arial"/>
                <w:iCs/>
                <w:noProof/>
                <w:sz w:val="20"/>
                <w:szCs w:val="20"/>
                <w:lang w:eastAsia="en-GB"/>
              </w:rPr>
            </w:pPr>
            <w:r w:rsidRPr="00454100">
              <w:rPr>
                <w:rFonts w:ascii="Arial" w:eastAsia="Times New Roman" w:hAnsi="Arial" w:cs="Arial"/>
                <w:iCs/>
                <w:noProof/>
                <w:sz w:val="20"/>
                <w:szCs w:val="20"/>
                <w:lang w:eastAsia="en-GB"/>
              </w:rPr>
              <w:t>The communities affected by the oil spill suffered financial loss due to fishing interruption.</w:t>
            </w:r>
          </w:p>
        </w:tc>
        <w:tc>
          <w:tcPr>
            <w:tcW w:w="1523" w:type="pct"/>
            <w:shd w:val="clear" w:color="auto" w:fill="auto"/>
          </w:tcPr>
          <w:p w14:paraId="2F72E5EF" w14:textId="77777777" w:rsidR="00454100" w:rsidRPr="00454100" w:rsidRDefault="00454100" w:rsidP="00454100">
            <w:pPr>
              <w:pStyle w:val="MediumGrid1-Accent21"/>
              <w:tabs>
                <w:tab w:val="left" w:pos="0"/>
                <w:tab w:val="left" w:pos="709"/>
              </w:tabs>
              <w:spacing w:before="120"/>
              <w:ind w:left="0"/>
              <w:rPr>
                <w:rFonts w:ascii="Arial" w:eastAsia="Times New Roman" w:hAnsi="Arial" w:cs="Arial"/>
                <w:b/>
                <w:iCs/>
                <w:noProof/>
                <w:sz w:val="20"/>
                <w:szCs w:val="20"/>
                <w:lang w:val="en-US" w:eastAsia="en-GB"/>
              </w:rPr>
            </w:pPr>
            <w:r w:rsidRPr="00454100">
              <w:rPr>
                <w:rFonts w:ascii="Arial" w:eastAsia="Times New Roman" w:hAnsi="Arial" w:cs="Arial"/>
                <w:b/>
                <w:iCs/>
                <w:noProof/>
                <w:sz w:val="20"/>
                <w:szCs w:val="20"/>
                <w:lang w:val="en-US" w:eastAsia="en-GB"/>
              </w:rPr>
              <w:t>Explore avenues for compensation.</w:t>
            </w:r>
          </w:p>
        </w:tc>
        <w:tc>
          <w:tcPr>
            <w:tcW w:w="2105" w:type="pct"/>
            <w:shd w:val="clear" w:color="auto" w:fill="auto"/>
          </w:tcPr>
          <w:p w14:paraId="65EBBE84" w14:textId="77777777" w:rsidR="00454100" w:rsidRPr="00454100" w:rsidRDefault="00454100" w:rsidP="00454100">
            <w:pPr>
              <w:pStyle w:val="MediumGrid1-Accent21"/>
              <w:tabs>
                <w:tab w:val="left" w:pos="709"/>
              </w:tabs>
              <w:spacing w:before="120" w:after="120"/>
              <w:ind w:left="0"/>
              <w:rPr>
                <w:rFonts w:ascii="Arial" w:eastAsia="Times New Roman" w:hAnsi="Arial" w:cs="Arial"/>
                <w:iCs/>
                <w:noProof/>
                <w:sz w:val="20"/>
                <w:szCs w:val="20"/>
                <w:lang w:eastAsia="en-GB"/>
              </w:rPr>
            </w:pPr>
            <w:r w:rsidRPr="00454100">
              <w:rPr>
                <w:rFonts w:ascii="Arial" w:eastAsia="Times New Roman" w:hAnsi="Arial" w:cs="Arial"/>
                <w:iCs/>
                <w:noProof/>
                <w:sz w:val="20"/>
                <w:szCs w:val="20"/>
                <w:lang w:eastAsia="en-GB"/>
              </w:rPr>
              <w:t>The affected communities may availed the opportunity to claim compensation for lost income due to oil spill through the death of their poultry and refraining from fishing. Particular attention is required to ensure that the compensation makes it directly to the oil affected commnuties members.</w:t>
            </w:r>
          </w:p>
        </w:tc>
      </w:tr>
      <w:tr w:rsidR="00454100" w:rsidRPr="00454100" w14:paraId="531F9FC3" w14:textId="77777777" w:rsidTr="00454100">
        <w:tc>
          <w:tcPr>
            <w:tcW w:w="180" w:type="pct"/>
            <w:shd w:val="clear" w:color="auto" w:fill="auto"/>
          </w:tcPr>
          <w:p w14:paraId="22079FE2" w14:textId="77777777" w:rsidR="00454100" w:rsidRPr="00454100" w:rsidRDefault="00454100" w:rsidP="00454100">
            <w:pPr>
              <w:pStyle w:val="MediumGrid1-Accent21"/>
              <w:tabs>
                <w:tab w:val="left" w:pos="0"/>
                <w:tab w:val="left" w:pos="709"/>
              </w:tabs>
              <w:ind w:hanging="720"/>
              <w:rPr>
                <w:rFonts w:ascii="Arial" w:eastAsia="Times New Roman" w:hAnsi="Arial" w:cs="Arial"/>
                <w:iCs/>
                <w:noProof/>
                <w:sz w:val="20"/>
                <w:szCs w:val="20"/>
                <w:lang w:val="en-US" w:eastAsia="en-GB"/>
              </w:rPr>
            </w:pPr>
            <w:r w:rsidRPr="00454100">
              <w:rPr>
                <w:rFonts w:ascii="Arial" w:eastAsia="Times New Roman" w:hAnsi="Arial" w:cs="Arial"/>
                <w:iCs/>
                <w:noProof/>
                <w:sz w:val="20"/>
                <w:szCs w:val="20"/>
                <w:lang w:val="en-US" w:eastAsia="en-GB"/>
              </w:rPr>
              <w:t xml:space="preserve">7. </w:t>
            </w:r>
          </w:p>
        </w:tc>
        <w:tc>
          <w:tcPr>
            <w:tcW w:w="1192" w:type="pct"/>
            <w:shd w:val="clear" w:color="auto" w:fill="auto"/>
          </w:tcPr>
          <w:p w14:paraId="198D770C" w14:textId="77777777" w:rsidR="00454100" w:rsidRPr="00454100" w:rsidRDefault="00454100" w:rsidP="00454100">
            <w:pPr>
              <w:pStyle w:val="MediumGrid1-Accent21"/>
              <w:tabs>
                <w:tab w:val="left" w:pos="709"/>
              </w:tabs>
              <w:spacing w:after="120"/>
              <w:ind w:left="0"/>
              <w:rPr>
                <w:rFonts w:ascii="Arial" w:eastAsia="Times New Roman" w:hAnsi="Arial" w:cs="Arial"/>
                <w:iCs/>
                <w:noProof/>
                <w:sz w:val="20"/>
                <w:szCs w:val="20"/>
                <w:lang w:eastAsia="en-GB"/>
              </w:rPr>
            </w:pPr>
            <w:r w:rsidRPr="00454100">
              <w:rPr>
                <w:rFonts w:ascii="Arial" w:eastAsia="Times New Roman" w:hAnsi="Arial" w:cs="Arial"/>
                <w:iCs/>
                <w:noProof/>
                <w:sz w:val="20"/>
                <w:szCs w:val="20"/>
                <w:lang w:eastAsia="en-GB"/>
              </w:rPr>
              <w:t>The local communities within Sundarbans rely heavily on the exploitation of natural resources within an area of worldwide environmental importance.</w:t>
            </w:r>
          </w:p>
        </w:tc>
        <w:tc>
          <w:tcPr>
            <w:tcW w:w="1523" w:type="pct"/>
            <w:shd w:val="clear" w:color="auto" w:fill="auto"/>
          </w:tcPr>
          <w:p w14:paraId="631CC7F2" w14:textId="77777777" w:rsidR="00454100" w:rsidRPr="00454100" w:rsidRDefault="00454100" w:rsidP="00454100">
            <w:pPr>
              <w:pStyle w:val="MediumGrid1-Accent21"/>
              <w:tabs>
                <w:tab w:val="left" w:pos="0"/>
                <w:tab w:val="left" w:pos="709"/>
              </w:tabs>
              <w:spacing w:before="120"/>
              <w:ind w:left="0"/>
              <w:rPr>
                <w:rFonts w:ascii="Arial" w:eastAsia="Times New Roman" w:hAnsi="Arial" w:cs="Arial"/>
                <w:iCs/>
                <w:noProof/>
                <w:sz w:val="20"/>
                <w:szCs w:val="20"/>
                <w:lang w:val="en-US" w:eastAsia="en-GB"/>
              </w:rPr>
            </w:pPr>
            <w:r w:rsidRPr="00454100">
              <w:rPr>
                <w:rFonts w:ascii="Arial" w:eastAsia="Times New Roman" w:hAnsi="Arial" w:cs="Arial"/>
                <w:iCs/>
                <w:noProof/>
                <w:sz w:val="20"/>
                <w:szCs w:val="20"/>
                <w:lang w:val="en-US" w:eastAsia="en-GB"/>
              </w:rPr>
              <w:t xml:space="preserve">Promote </w:t>
            </w:r>
            <w:r w:rsidRPr="00454100">
              <w:rPr>
                <w:rFonts w:ascii="Arial" w:eastAsia="Times New Roman" w:hAnsi="Arial" w:cs="Arial"/>
                <w:b/>
                <w:iCs/>
                <w:noProof/>
                <w:sz w:val="20"/>
                <w:szCs w:val="20"/>
                <w:lang w:val="en-US" w:eastAsia="en-GB"/>
              </w:rPr>
              <w:t>suitable alternative livelihoods</w:t>
            </w:r>
            <w:r w:rsidRPr="00454100">
              <w:rPr>
                <w:rFonts w:ascii="Arial" w:eastAsia="Times New Roman" w:hAnsi="Arial" w:cs="Arial"/>
                <w:iCs/>
                <w:noProof/>
                <w:sz w:val="20"/>
                <w:szCs w:val="20"/>
                <w:lang w:val="en-US" w:eastAsia="en-GB"/>
              </w:rPr>
              <w:t xml:space="preserve"> for Sundarbans resource-dependent communities</w:t>
            </w:r>
          </w:p>
        </w:tc>
        <w:tc>
          <w:tcPr>
            <w:tcW w:w="2105" w:type="pct"/>
            <w:shd w:val="clear" w:color="auto" w:fill="auto"/>
          </w:tcPr>
          <w:p w14:paraId="622F7EC8" w14:textId="77777777" w:rsidR="00454100" w:rsidRPr="00454100" w:rsidRDefault="00454100" w:rsidP="00454100">
            <w:pPr>
              <w:pStyle w:val="MediumGrid1-Accent21"/>
              <w:tabs>
                <w:tab w:val="left" w:pos="709"/>
              </w:tabs>
              <w:spacing w:before="120" w:after="120"/>
              <w:ind w:left="0"/>
              <w:rPr>
                <w:rFonts w:ascii="Arial" w:eastAsia="Times New Roman" w:hAnsi="Arial" w:cs="Arial"/>
                <w:iCs/>
                <w:noProof/>
                <w:sz w:val="20"/>
                <w:szCs w:val="20"/>
                <w:lang w:eastAsia="en-GB"/>
              </w:rPr>
            </w:pPr>
            <w:r w:rsidRPr="00454100">
              <w:rPr>
                <w:rFonts w:ascii="Arial" w:eastAsia="Times New Roman" w:hAnsi="Arial" w:cs="Arial"/>
                <w:iCs/>
                <w:noProof/>
                <w:sz w:val="20"/>
                <w:szCs w:val="20"/>
                <w:lang w:eastAsia="en-GB"/>
              </w:rPr>
              <w:t xml:space="preserve">The GoB should promote </w:t>
            </w:r>
            <w:r w:rsidRPr="00454100">
              <w:rPr>
                <w:rFonts w:ascii="Arial" w:eastAsia="Times New Roman" w:hAnsi="Arial" w:cs="Arial"/>
                <w:b/>
                <w:iCs/>
                <w:noProof/>
                <w:sz w:val="20"/>
                <w:szCs w:val="20"/>
                <w:lang w:eastAsia="en-GB"/>
              </w:rPr>
              <w:t>concrete livelihood options</w:t>
            </w:r>
            <w:r w:rsidRPr="00454100">
              <w:rPr>
                <w:rFonts w:ascii="Arial" w:eastAsia="Times New Roman" w:hAnsi="Arial" w:cs="Arial"/>
                <w:iCs/>
                <w:noProof/>
                <w:sz w:val="20"/>
                <w:szCs w:val="20"/>
                <w:lang w:eastAsia="en-GB"/>
              </w:rPr>
              <w:t xml:space="preserve"> for the affected fisherfolk who lost their nets and/or whose catch has been significantly reduced. Such alternative livelihoods might include, among others, employment in local industry with the goal of reducing dependence of local communities on resource extraction from the Sundarbans ecosystem.  </w:t>
            </w:r>
          </w:p>
        </w:tc>
      </w:tr>
      <w:tr w:rsidR="00454100" w:rsidRPr="00454100" w14:paraId="363A7428" w14:textId="77777777" w:rsidTr="00454100">
        <w:tc>
          <w:tcPr>
            <w:tcW w:w="180" w:type="pct"/>
            <w:shd w:val="clear" w:color="auto" w:fill="auto"/>
          </w:tcPr>
          <w:p w14:paraId="7F40E543" w14:textId="77777777" w:rsidR="00454100" w:rsidRPr="00454100" w:rsidRDefault="00454100" w:rsidP="00454100">
            <w:pPr>
              <w:pStyle w:val="MediumGrid1-Accent21"/>
              <w:tabs>
                <w:tab w:val="left" w:pos="0"/>
                <w:tab w:val="left" w:pos="709"/>
              </w:tabs>
              <w:ind w:hanging="720"/>
              <w:rPr>
                <w:rFonts w:ascii="Arial" w:eastAsia="Times New Roman" w:hAnsi="Arial" w:cs="Arial"/>
                <w:iCs/>
                <w:noProof/>
                <w:sz w:val="20"/>
                <w:szCs w:val="20"/>
                <w:lang w:val="en-US" w:eastAsia="en-GB"/>
              </w:rPr>
            </w:pPr>
            <w:r w:rsidRPr="00454100">
              <w:rPr>
                <w:rFonts w:ascii="Arial" w:eastAsia="Times New Roman" w:hAnsi="Arial" w:cs="Arial"/>
                <w:iCs/>
                <w:noProof/>
                <w:sz w:val="20"/>
                <w:szCs w:val="20"/>
                <w:lang w:val="en-US" w:eastAsia="en-GB"/>
              </w:rPr>
              <w:t>8.</w:t>
            </w:r>
          </w:p>
        </w:tc>
        <w:tc>
          <w:tcPr>
            <w:tcW w:w="1192" w:type="pct"/>
            <w:shd w:val="clear" w:color="auto" w:fill="auto"/>
          </w:tcPr>
          <w:p w14:paraId="77A82AFB" w14:textId="77777777" w:rsidR="00454100" w:rsidRPr="00454100" w:rsidRDefault="00454100" w:rsidP="00454100">
            <w:pPr>
              <w:pStyle w:val="MediumGrid1-Accent21"/>
              <w:spacing w:after="120"/>
              <w:ind w:left="0"/>
              <w:jc w:val="both"/>
              <w:rPr>
                <w:rFonts w:ascii="Arial" w:eastAsia="Times New Roman" w:hAnsi="Arial" w:cs="Arial"/>
                <w:iCs/>
                <w:noProof/>
                <w:sz w:val="20"/>
                <w:szCs w:val="20"/>
                <w:lang w:val="en-US" w:eastAsia="en-GB"/>
              </w:rPr>
            </w:pPr>
            <w:r w:rsidRPr="00454100">
              <w:rPr>
                <w:rFonts w:ascii="Arial" w:eastAsia="Times New Roman" w:hAnsi="Arial" w:cs="Arial"/>
                <w:iCs/>
                <w:noProof/>
                <w:sz w:val="20"/>
                <w:szCs w:val="20"/>
                <w:lang w:val="en-US" w:eastAsia="en-GB"/>
              </w:rPr>
              <w:t>A major obstacle to assessing the impacts of the current oil spill incident has been a lack of useful reference data.</w:t>
            </w:r>
          </w:p>
        </w:tc>
        <w:tc>
          <w:tcPr>
            <w:tcW w:w="1523" w:type="pct"/>
            <w:shd w:val="clear" w:color="auto" w:fill="auto"/>
          </w:tcPr>
          <w:p w14:paraId="0985D1E7" w14:textId="77777777" w:rsidR="00454100" w:rsidRPr="00454100" w:rsidRDefault="00454100" w:rsidP="00454100">
            <w:pPr>
              <w:pStyle w:val="MediumGrid1-Accent21"/>
              <w:tabs>
                <w:tab w:val="left" w:pos="0"/>
                <w:tab w:val="left" w:pos="709"/>
              </w:tabs>
              <w:spacing w:before="120"/>
              <w:ind w:left="0"/>
              <w:rPr>
                <w:rFonts w:ascii="Arial" w:eastAsia="Times New Roman" w:hAnsi="Arial" w:cs="Arial"/>
                <w:iCs/>
                <w:noProof/>
                <w:sz w:val="20"/>
                <w:szCs w:val="20"/>
                <w:lang w:val="en-US" w:eastAsia="en-GB"/>
              </w:rPr>
            </w:pPr>
            <w:r w:rsidRPr="00454100">
              <w:rPr>
                <w:rFonts w:ascii="Arial" w:eastAsia="Times New Roman" w:hAnsi="Arial" w:cs="Arial"/>
                <w:iCs/>
                <w:noProof/>
                <w:sz w:val="20"/>
                <w:szCs w:val="20"/>
                <w:lang w:val="en-US" w:eastAsia="en-GB"/>
              </w:rPr>
              <w:t xml:space="preserve">Lay the </w:t>
            </w:r>
            <w:r w:rsidRPr="00454100">
              <w:rPr>
                <w:rFonts w:ascii="Arial" w:eastAsia="Times New Roman" w:hAnsi="Arial" w:cs="Arial"/>
                <w:b/>
                <w:iCs/>
                <w:noProof/>
                <w:sz w:val="20"/>
                <w:szCs w:val="20"/>
                <w:lang w:val="en-US" w:eastAsia="en-GB"/>
              </w:rPr>
              <w:t>foundation of a long-term environmental monitoring plan</w:t>
            </w:r>
            <w:r w:rsidRPr="00454100">
              <w:rPr>
                <w:rFonts w:ascii="Arial" w:eastAsia="Times New Roman" w:hAnsi="Arial" w:cs="Arial"/>
                <w:iCs/>
                <w:noProof/>
                <w:sz w:val="20"/>
                <w:szCs w:val="20"/>
                <w:lang w:val="en-US" w:eastAsia="en-GB"/>
              </w:rPr>
              <w:t xml:space="preserve"> that will provide useful data for the impact assessment and monitoring efforts in the event of future pollution incidents.</w:t>
            </w:r>
          </w:p>
        </w:tc>
        <w:tc>
          <w:tcPr>
            <w:tcW w:w="2105" w:type="pct"/>
            <w:shd w:val="clear" w:color="auto" w:fill="auto"/>
          </w:tcPr>
          <w:p w14:paraId="6DD241FD" w14:textId="77777777" w:rsidR="00454100" w:rsidRPr="00454100" w:rsidRDefault="00454100" w:rsidP="00454100">
            <w:pPr>
              <w:pStyle w:val="MediumGrid1-Accent21"/>
              <w:tabs>
                <w:tab w:val="left" w:pos="0"/>
                <w:tab w:val="left" w:pos="709"/>
              </w:tabs>
              <w:spacing w:before="120"/>
              <w:ind w:left="0"/>
              <w:rPr>
                <w:rFonts w:ascii="Arial" w:eastAsia="Times New Roman" w:hAnsi="Arial" w:cs="Arial"/>
                <w:iCs/>
                <w:noProof/>
                <w:sz w:val="20"/>
                <w:szCs w:val="20"/>
                <w:lang w:val="en-US" w:eastAsia="en-GB"/>
              </w:rPr>
            </w:pPr>
            <w:r w:rsidRPr="00454100">
              <w:rPr>
                <w:rFonts w:ascii="Arial" w:eastAsia="Times New Roman" w:hAnsi="Arial" w:cs="Arial"/>
                <w:iCs/>
                <w:noProof/>
                <w:sz w:val="20"/>
                <w:szCs w:val="20"/>
                <w:lang w:val="en-US" w:eastAsia="en-GB"/>
              </w:rPr>
              <w:t>Exisiting and planned environmental monitoring programmes within the Sundarbans should be evaluated for suitability for modification to ensure relevant data on water quality, pollutants within the environment and flora and fauna are collected. Monitoring of edible resources for potential health issues should be included. A dedicated environmental monitoring and survey station for the Pashur rivers could be set up under the FD.</w:t>
            </w:r>
          </w:p>
        </w:tc>
      </w:tr>
      <w:tr w:rsidR="00454100" w:rsidRPr="00454100" w14:paraId="4C26D93C" w14:textId="77777777" w:rsidTr="00454100">
        <w:tc>
          <w:tcPr>
            <w:tcW w:w="180" w:type="pct"/>
            <w:shd w:val="clear" w:color="auto" w:fill="auto"/>
          </w:tcPr>
          <w:p w14:paraId="7B86F613" w14:textId="77777777" w:rsidR="00454100" w:rsidRPr="00454100" w:rsidRDefault="00454100" w:rsidP="00454100">
            <w:pPr>
              <w:pStyle w:val="MediumGrid1-Accent21"/>
              <w:tabs>
                <w:tab w:val="left" w:pos="0"/>
                <w:tab w:val="left" w:pos="709"/>
              </w:tabs>
              <w:ind w:hanging="720"/>
              <w:rPr>
                <w:rFonts w:ascii="Arial" w:eastAsia="Times New Roman" w:hAnsi="Arial" w:cs="Arial"/>
                <w:iCs/>
                <w:noProof/>
                <w:sz w:val="20"/>
                <w:szCs w:val="20"/>
                <w:lang w:val="en-US" w:eastAsia="en-GB"/>
              </w:rPr>
            </w:pPr>
            <w:r w:rsidRPr="00454100">
              <w:rPr>
                <w:rFonts w:ascii="Arial" w:eastAsia="Times New Roman" w:hAnsi="Arial" w:cs="Arial"/>
                <w:iCs/>
                <w:noProof/>
                <w:sz w:val="20"/>
                <w:szCs w:val="20"/>
                <w:lang w:val="en-US" w:eastAsia="en-GB"/>
              </w:rPr>
              <w:t>9.</w:t>
            </w:r>
          </w:p>
        </w:tc>
        <w:tc>
          <w:tcPr>
            <w:tcW w:w="1192" w:type="pct"/>
            <w:shd w:val="clear" w:color="auto" w:fill="auto"/>
          </w:tcPr>
          <w:p w14:paraId="039B250D" w14:textId="77777777" w:rsidR="00454100" w:rsidRPr="00454100" w:rsidRDefault="00454100" w:rsidP="00454100">
            <w:pPr>
              <w:pStyle w:val="MediumGrid1-Accent21"/>
              <w:tabs>
                <w:tab w:val="left" w:pos="0"/>
                <w:tab w:val="left" w:pos="709"/>
              </w:tabs>
              <w:spacing w:before="120"/>
              <w:ind w:left="0"/>
              <w:rPr>
                <w:rFonts w:ascii="Arial" w:eastAsia="Times New Roman" w:hAnsi="Arial" w:cs="Arial"/>
                <w:iCs/>
                <w:noProof/>
                <w:sz w:val="20"/>
                <w:szCs w:val="20"/>
                <w:lang w:val="en-US" w:eastAsia="en-GB"/>
              </w:rPr>
            </w:pPr>
            <w:r w:rsidRPr="00454100">
              <w:rPr>
                <w:rFonts w:ascii="Arial" w:eastAsia="Times New Roman" w:hAnsi="Arial" w:cs="Arial"/>
                <w:iCs/>
                <w:noProof/>
                <w:sz w:val="20"/>
                <w:szCs w:val="20"/>
                <w:lang w:val="en-US" w:eastAsia="en-GB"/>
              </w:rPr>
              <w:t>The management of vessel traffic through the Sundarbans and measures taken to prevent pollution incidents are currently weak and need to be addressed to help mitigate the risk of future pollution.</w:t>
            </w:r>
          </w:p>
        </w:tc>
        <w:tc>
          <w:tcPr>
            <w:tcW w:w="1523" w:type="pct"/>
            <w:shd w:val="clear" w:color="auto" w:fill="auto"/>
          </w:tcPr>
          <w:p w14:paraId="71E917CC" w14:textId="77777777" w:rsidR="00454100" w:rsidRPr="00454100" w:rsidRDefault="00454100" w:rsidP="00454100">
            <w:pPr>
              <w:pStyle w:val="MediumGrid1-Accent21"/>
              <w:tabs>
                <w:tab w:val="left" w:pos="0"/>
                <w:tab w:val="left" w:pos="709"/>
              </w:tabs>
              <w:spacing w:before="120"/>
              <w:ind w:left="0"/>
              <w:rPr>
                <w:rFonts w:ascii="Arial" w:eastAsia="Times New Roman" w:hAnsi="Arial" w:cs="Arial"/>
                <w:iCs/>
                <w:noProof/>
                <w:sz w:val="20"/>
                <w:szCs w:val="20"/>
                <w:lang w:val="en-US" w:eastAsia="en-GB"/>
              </w:rPr>
            </w:pPr>
            <w:r w:rsidRPr="00454100">
              <w:rPr>
                <w:rFonts w:ascii="Arial" w:eastAsia="Times New Roman" w:hAnsi="Arial" w:cs="Arial"/>
                <w:b/>
                <w:iCs/>
                <w:noProof/>
                <w:sz w:val="20"/>
                <w:szCs w:val="20"/>
                <w:lang w:val="en-US" w:eastAsia="en-GB"/>
              </w:rPr>
              <w:t>Strengthen the inland vessel management regime</w:t>
            </w:r>
            <w:r w:rsidRPr="00454100">
              <w:rPr>
                <w:rFonts w:ascii="Arial" w:eastAsia="Times New Roman" w:hAnsi="Arial" w:cs="Arial"/>
                <w:iCs/>
                <w:noProof/>
                <w:sz w:val="20"/>
                <w:szCs w:val="20"/>
                <w:lang w:val="en-US" w:eastAsia="en-GB"/>
              </w:rPr>
              <w:t>; implement and enforce measures to manage marine traffic in the approved navigation channels of the Sundarbans</w:t>
            </w:r>
          </w:p>
          <w:p w14:paraId="1642D02B" w14:textId="77777777" w:rsidR="00454100" w:rsidRPr="00454100" w:rsidRDefault="00454100" w:rsidP="00454100">
            <w:pPr>
              <w:pStyle w:val="MediumGrid1-Accent21"/>
              <w:tabs>
                <w:tab w:val="left" w:pos="0"/>
                <w:tab w:val="left" w:pos="709"/>
              </w:tabs>
              <w:spacing w:before="120"/>
              <w:ind w:left="0"/>
              <w:rPr>
                <w:rFonts w:ascii="Arial" w:eastAsia="Times New Roman" w:hAnsi="Arial" w:cs="Arial"/>
                <w:iCs/>
                <w:noProof/>
                <w:sz w:val="20"/>
                <w:szCs w:val="20"/>
                <w:lang w:val="en-US" w:eastAsia="en-GB"/>
              </w:rPr>
            </w:pPr>
          </w:p>
          <w:p w14:paraId="1C38BA32" w14:textId="77777777" w:rsidR="00454100" w:rsidRPr="00454100" w:rsidRDefault="00454100" w:rsidP="00454100">
            <w:pPr>
              <w:pStyle w:val="MediumGrid1-Accent21"/>
              <w:tabs>
                <w:tab w:val="left" w:pos="0"/>
                <w:tab w:val="left" w:pos="709"/>
              </w:tabs>
              <w:spacing w:before="120"/>
              <w:ind w:left="0"/>
              <w:rPr>
                <w:rFonts w:ascii="Arial" w:eastAsia="Times New Roman" w:hAnsi="Arial" w:cs="Arial"/>
                <w:iCs/>
                <w:noProof/>
                <w:sz w:val="20"/>
                <w:szCs w:val="20"/>
                <w:lang w:val="en-US" w:eastAsia="en-GB"/>
              </w:rPr>
            </w:pPr>
            <w:r w:rsidRPr="00454100">
              <w:rPr>
                <w:rFonts w:ascii="Arial" w:eastAsia="Times New Roman" w:hAnsi="Arial" w:cs="Arial"/>
                <w:iCs/>
                <w:noProof/>
                <w:sz w:val="20"/>
                <w:szCs w:val="20"/>
                <w:lang w:val="en-US" w:eastAsia="en-GB"/>
              </w:rPr>
              <w:t>In the Shela River: There is an immediate need to stagger the large number of vessels waiting to pass; ban passage during night hours and fog; and prohibit all anchoring in the channel except in an emergency.</w:t>
            </w:r>
          </w:p>
          <w:p w14:paraId="474BC8F6" w14:textId="77777777" w:rsidR="00454100" w:rsidRPr="00454100" w:rsidRDefault="00454100" w:rsidP="00454100">
            <w:pPr>
              <w:pStyle w:val="MediumGrid1-Accent21"/>
              <w:tabs>
                <w:tab w:val="left" w:pos="0"/>
                <w:tab w:val="left" w:pos="709"/>
              </w:tabs>
              <w:spacing w:before="120"/>
              <w:ind w:left="0"/>
              <w:rPr>
                <w:rFonts w:ascii="Arial" w:eastAsia="Times New Roman" w:hAnsi="Arial" w:cs="Arial"/>
                <w:iCs/>
                <w:noProof/>
                <w:sz w:val="20"/>
                <w:szCs w:val="20"/>
                <w:lang w:val="en-US" w:eastAsia="en-GB"/>
              </w:rPr>
            </w:pPr>
          </w:p>
          <w:p w14:paraId="41695311" w14:textId="77777777" w:rsidR="00454100" w:rsidRPr="00454100" w:rsidRDefault="00454100" w:rsidP="00454100">
            <w:pPr>
              <w:pStyle w:val="MediumGrid1-Accent21"/>
              <w:tabs>
                <w:tab w:val="left" w:pos="0"/>
                <w:tab w:val="left" w:pos="709"/>
              </w:tabs>
              <w:spacing w:before="120"/>
              <w:ind w:left="0"/>
              <w:rPr>
                <w:rFonts w:ascii="Arial" w:eastAsia="Times New Roman" w:hAnsi="Arial" w:cs="Arial"/>
                <w:iCs/>
                <w:noProof/>
                <w:sz w:val="20"/>
                <w:szCs w:val="20"/>
                <w:lang w:val="en-US" w:eastAsia="en-GB"/>
              </w:rPr>
            </w:pPr>
            <w:r w:rsidRPr="00454100">
              <w:rPr>
                <w:rFonts w:ascii="Arial" w:eastAsia="Times New Roman" w:hAnsi="Arial" w:cs="Arial"/>
                <w:iCs/>
                <w:noProof/>
                <w:sz w:val="20"/>
                <w:szCs w:val="20"/>
                <w:lang w:val="en-US" w:eastAsia="en-GB"/>
              </w:rPr>
              <w:t xml:space="preserve">Throughout the Sundarbans: </w:t>
            </w:r>
            <w:r w:rsidRPr="00454100">
              <w:rPr>
                <w:rFonts w:ascii="Arial" w:eastAsia="Times New Roman" w:hAnsi="Arial" w:cs="Arial"/>
                <w:b/>
                <w:iCs/>
                <w:noProof/>
                <w:sz w:val="20"/>
                <w:szCs w:val="20"/>
                <w:lang w:val="en-US" w:eastAsia="en-GB"/>
              </w:rPr>
              <w:t>Implement and enforce internationally-accepted safeguards and measures</w:t>
            </w:r>
            <w:r w:rsidRPr="00454100">
              <w:rPr>
                <w:rFonts w:ascii="Arial" w:eastAsia="Times New Roman" w:hAnsi="Arial" w:cs="Arial"/>
                <w:iCs/>
                <w:noProof/>
                <w:sz w:val="20"/>
                <w:szCs w:val="20"/>
                <w:lang w:val="en-US" w:eastAsia="en-GB"/>
              </w:rPr>
              <w:t xml:space="preserve"> such as vessel spacing, navigational operational restrictions (eg, vessel speed limits), regional anchoring prohibitions and hazardous cargo specifications and restrictions.</w:t>
            </w:r>
          </w:p>
        </w:tc>
        <w:tc>
          <w:tcPr>
            <w:tcW w:w="2105" w:type="pct"/>
            <w:shd w:val="clear" w:color="auto" w:fill="auto"/>
          </w:tcPr>
          <w:p w14:paraId="00A49AE1" w14:textId="77777777" w:rsidR="00454100" w:rsidRPr="00454100" w:rsidRDefault="00454100" w:rsidP="00454100">
            <w:pPr>
              <w:pStyle w:val="MediumGrid1-Accent21"/>
              <w:tabs>
                <w:tab w:val="left" w:pos="0"/>
                <w:tab w:val="left" w:pos="709"/>
              </w:tabs>
              <w:spacing w:before="120"/>
              <w:ind w:left="0"/>
              <w:rPr>
                <w:rFonts w:ascii="Arial" w:eastAsia="Times New Roman" w:hAnsi="Arial" w:cs="Arial"/>
                <w:iCs/>
                <w:noProof/>
                <w:sz w:val="20"/>
                <w:szCs w:val="20"/>
                <w:lang w:val="en-US" w:eastAsia="en-GB"/>
              </w:rPr>
            </w:pPr>
            <w:r w:rsidRPr="00454100">
              <w:rPr>
                <w:rFonts w:ascii="Arial" w:eastAsia="Times New Roman" w:hAnsi="Arial" w:cs="Arial"/>
                <w:iCs/>
                <w:noProof/>
                <w:sz w:val="20"/>
                <w:szCs w:val="20"/>
                <w:lang w:val="en-US" w:eastAsia="en-GB"/>
              </w:rPr>
              <w:t xml:space="preserve">Initiate a </w:t>
            </w:r>
            <w:r w:rsidRPr="00454100">
              <w:rPr>
                <w:rFonts w:ascii="Arial" w:eastAsia="Times New Roman" w:hAnsi="Arial" w:cs="Arial"/>
                <w:b/>
                <w:iCs/>
                <w:noProof/>
                <w:sz w:val="20"/>
                <w:szCs w:val="20"/>
                <w:lang w:val="en-US" w:eastAsia="en-GB"/>
              </w:rPr>
              <w:t>study of the environmental, economic and social implications of various shipping routes</w:t>
            </w:r>
            <w:r w:rsidRPr="00454100">
              <w:rPr>
                <w:rFonts w:ascii="Arial" w:eastAsia="Times New Roman" w:hAnsi="Arial" w:cs="Arial"/>
                <w:iCs/>
                <w:noProof/>
                <w:sz w:val="20"/>
                <w:szCs w:val="20"/>
                <w:lang w:val="en-US" w:eastAsia="en-GB"/>
              </w:rPr>
              <w:t>, with the objective to find an alternative route  to the Shela river that minimizes environmental risk to the Sundarbans.</w:t>
            </w:r>
          </w:p>
          <w:p w14:paraId="45D66C33" w14:textId="77777777" w:rsidR="00454100" w:rsidRPr="00454100" w:rsidRDefault="00454100" w:rsidP="00454100">
            <w:pPr>
              <w:pStyle w:val="MediumGrid1-Accent21"/>
              <w:tabs>
                <w:tab w:val="left" w:pos="0"/>
                <w:tab w:val="left" w:pos="709"/>
              </w:tabs>
              <w:spacing w:before="120"/>
              <w:ind w:left="0"/>
              <w:rPr>
                <w:rFonts w:ascii="Arial" w:eastAsia="Times New Roman" w:hAnsi="Arial" w:cs="Arial"/>
                <w:iCs/>
                <w:noProof/>
                <w:sz w:val="20"/>
                <w:szCs w:val="20"/>
                <w:lang w:val="en-US" w:eastAsia="en-GB"/>
              </w:rPr>
            </w:pPr>
            <w:r w:rsidRPr="00454100">
              <w:rPr>
                <w:rFonts w:ascii="Arial" w:eastAsia="Times New Roman" w:hAnsi="Arial" w:cs="Arial"/>
                <w:iCs/>
                <w:noProof/>
                <w:sz w:val="20"/>
                <w:szCs w:val="20"/>
                <w:lang w:val="en-US" w:eastAsia="en-GB"/>
              </w:rPr>
              <w:t>The regime should include a program to improve and maintain a system of aids to navigation for both international and domestic marine traffic.</w:t>
            </w:r>
          </w:p>
          <w:p w14:paraId="4E01BECA" w14:textId="77777777" w:rsidR="00454100" w:rsidRPr="00454100" w:rsidRDefault="00454100" w:rsidP="00454100">
            <w:pPr>
              <w:pStyle w:val="MediumGrid1-Accent21"/>
              <w:tabs>
                <w:tab w:val="left" w:pos="0"/>
                <w:tab w:val="left" w:pos="709"/>
              </w:tabs>
              <w:spacing w:before="120"/>
              <w:rPr>
                <w:rFonts w:ascii="Arial" w:eastAsia="Times New Roman" w:hAnsi="Arial" w:cs="Arial"/>
                <w:iCs/>
                <w:noProof/>
                <w:sz w:val="20"/>
                <w:szCs w:val="20"/>
                <w:lang w:val="en-US" w:eastAsia="en-GB"/>
              </w:rPr>
            </w:pPr>
          </w:p>
          <w:p w14:paraId="34011DA8" w14:textId="77777777" w:rsidR="00454100" w:rsidRPr="00454100" w:rsidRDefault="00454100" w:rsidP="00454100">
            <w:pPr>
              <w:pStyle w:val="MediumGrid1-Accent21"/>
              <w:tabs>
                <w:tab w:val="left" w:pos="0"/>
                <w:tab w:val="left" w:pos="709"/>
              </w:tabs>
              <w:spacing w:before="120"/>
              <w:ind w:left="0"/>
              <w:rPr>
                <w:rFonts w:ascii="Arial" w:eastAsia="Times New Roman" w:hAnsi="Arial" w:cs="Arial"/>
                <w:iCs/>
                <w:noProof/>
                <w:sz w:val="20"/>
                <w:szCs w:val="20"/>
                <w:lang w:val="en-US" w:eastAsia="en-GB"/>
              </w:rPr>
            </w:pPr>
            <w:r w:rsidRPr="00454100">
              <w:rPr>
                <w:rFonts w:ascii="Arial" w:eastAsia="Times New Roman" w:hAnsi="Arial" w:cs="Arial"/>
                <w:iCs/>
                <w:noProof/>
                <w:sz w:val="20"/>
                <w:szCs w:val="20"/>
                <w:lang w:val="en-US" w:eastAsia="en-GB"/>
              </w:rPr>
              <w:t>The regime should legislate on marine insurance requirements for vessels to ensure that they provide adequate provsion to cover the likely costs of pollution incidents.</w:t>
            </w:r>
          </w:p>
          <w:p w14:paraId="29DB7A71" w14:textId="77777777" w:rsidR="00454100" w:rsidRPr="00454100" w:rsidRDefault="00454100" w:rsidP="00454100">
            <w:pPr>
              <w:pStyle w:val="MediumGrid1-Accent21"/>
              <w:tabs>
                <w:tab w:val="left" w:pos="0"/>
                <w:tab w:val="left" w:pos="709"/>
              </w:tabs>
              <w:spacing w:before="120"/>
              <w:rPr>
                <w:rFonts w:ascii="Arial" w:eastAsia="Times New Roman" w:hAnsi="Arial" w:cs="Arial"/>
                <w:iCs/>
                <w:noProof/>
                <w:sz w:val="20"/>
                <w:szCs w:val="20"/>
                <w:lang w:val="en-US" w:eastAsia="en-GB"/>
              </w:rPr>
            </w:pPr>
          </w:p>
          <w:p w14:paraId="63F514AB" w14:textId="77777777" w:rsidR="00454100" w:rsidRPr="00454100" w:rsidRDefault="00454100" w:rsidP="00454100">
            <w:pPr>
              <w:pStyle w:val="MediumGrid1-Accent21"/>
              <w:tabs>
                <w:tab w:val="left" w:pos="0"/>
                <w:tab w:val="left" w:pos="709"/>
              </w:tabs>
              <w:spacing w:before="120"/>
              <w:ind w:left="0"/>
              <w:rPr>
                <w:rFonts w:ascii="Arial" w:eastAsia="Times New Roman" w:hAnsi="Arial" w:cs="Arial"/>
                <w:iCs/>
                <w:noProof/>
                <w:sz w:val="20"/>
                <w:szCs w:val="20"/>
                <w:lang w:val="en-US" w:eastAsia="en-GB"/>
              </w:rPr>
            </w:pPr>
            <w:r w:rsidRPr="00454100">
              <w:rPr>
                <w:rFonts w:ascii="Arial" w:eastAsia="Times New Roman" w:hAnsi="Arial" w:cs="Arial"/>
                <w:iCs/>
                <w:noProof/>
                <w:sz w:val="20"/>
                <w:szCs w:val="20"/>
                <w:lang w:val="en-US" w:eastAsia="en-GB"/>
              </w:rPr>
              <w:t>The regime should ensure that vessels operating in Bangladesh waters comply with standards of vessel construction and operations as designated under the international classification societies.</w:t>
            </w:r>
          </w:p>
        </w:tc>
      </w:tr>
    </w:tbl>
    <w:p w14:paraId="53E3E238" w14:textId="3F62ECC9" w:rsidR="00454100" w:rsidRDefault="00454100"/>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
        <w:gridCol w:w="3287"/>
        <w:gridCol w:w="4200"/>
        <w:gridCol w:w="5805"/>
      </w:tblGrid>
      <w:tr w:rsidR="00454100" w:rsidRPr="00454100" w14:paraId="47C083E5" w14:textId="77777777" w:rsidTr="00454100">
        <w:tc>
          <w:tcPr>
            <w:tcW w:w="180" w:type="pct"/>
            <w:shd w:val="clear" w:color="auto" w:fill="auto"/>
          </w:tcPr>
          <w:p w14:paraId="0968A8F8" w14:textId="5F3D75FA" w:rsidR="00454100" w:rsidRPr="00454100" w:rsidRDefault="00454100" w:rsidP="00454100">
            <w:pPr>
              <w:pStyle w:val="MediumGrid1-Accent21"/>
              <w:tabs>
                <w:tab w:val="left" w:pos="0"/>
                <w:tab w:val="left" w:pos="709"/>
              </w:tabs>
              <w:ind w:hanging="720"/>
              <w:rPr>
                <w:rFonts w:ascii="Arial" w:eastAsia="Times New Roman" w:hAnsi="Arial" w:cs="Arial"/>
                <w:iCs/>
                <w:noProof/>
                <w:sz w:val="20"/>
                <w:szCs w:val="20"/>
                <w:lang w:val="en-US" w:eastAsia="en-GB"/>
              </w:rPr>
            </w:pPr>
            <w:r w:rsidRPr="00454100">
              <w:rPr>
                <w:rFonts w:ascii="Arial" w:eastAsia="Times New Roman" w:hAnsi="Arial" w:cs="Arial"/>
                <w:iCs/>
                <w:noProof/>
                <w:sz w:val="20"/>
                <w:szCs w:val="20"/>
                <w:lang w:val="en-US" w:eastAsia="en-GB"/>
              </w:rPr>
              <w:t>10.</w:t>
            </w:r>
          </w:p>
        </w:tc>
        <w:tc>
          <w:tcPr>
            <w:tcW w:w="1192" w:type="pct"/>
            <w:shd w:val="clear" w:color="auto" w:fill="auto"/>
          </w:tcPr>
          <w:p w14:paraId="0F26E13A" w14:textId="77777777" w:rsidR="00454100" w:rsidRPr="00454100" w:rsidRDefault="00454100" w:rsidP="00454100">
            <w:pPr>
              <w:pStyle w:val="MediumGrid1-Accent21"/>
              <w:tabs>
                <w:tab w:val="left" w:pos="0"/>
                <w:tab w:val="left" w:pos="709"/>
              </w:tabs>
              <w:spacing w:before="120"/>
              <w:ind w:left="0"/>
              <w:rPr>
                <w:rFonts w:ascii="Arial" w:eastAsia="Times New Roman" w:hAnsi="Arial" w:cs="Arial"/>
                <w:iCs/>
                <w:noProof/>
                <w:sz w:val="20"/>
                <w:szCs w:val="20"/>
                <w:lang w:val="en-US" w:eastAsia="en-GB"/>
              </w:rPr>
            </w:pPr>
            <w:r w:rsidRPr="00454100">
              <w:rPr>
                <w:rFonts w:ascii="Arial" w:eastAsia="Times New Roman" w:hAnsi="Arial" w:cs="Arial"/>
                <w:iCs/>
                <w:noProof/>
                <w:sz w:val="20"/>
                <w:szCs w:val="20"/>
                <w:lang w:val="en-US" w:eastAsia="en-GB"/>
              </w:rPr>
              <w:t>The current level of contingency planning and preparedness for oil spills and similar pollution incidents is very low in Bangladesh.</w:t>
            </w:r>
          </w:p>
        </w:tc>
        <w:tc>
          <w:tcPr>
            <w:tcW w:w="1523" w:type="pct"/>
            <w:shd w:val="clear" w:color="auto" w:fill="auto"/>
          </w:tcPr>
          <w:p w14:paraId="619B2B36" w14:textId="77777777" w:rsidR="00454100" w:rsidRPr="00454100" w:rsidRDefault="00454100" w:rsidP="00454100">
            <w:pPr>
              <w:pStyle w:val="MediumGrid1-Accent21"/>
              <w:tabs>
                <w:tab w:val="left" w:pos="0"/>
                <w:tab w:val="left" w:pos="709"/>
              </w:tabs>
              <w:spacing w:before="120"/>
              <w:ind w:left="0"/>
              <w:rPr>
                <w:rFonts w:ascii="Arial" w:eastAsia="Times New Roman" w:hAnsi="Arial" w:cs="Arial"/>
                <w:b/>
                <w:iCs/>
                <w:noProof/>
                <w:sz w:val="20"/>
                <w:szCs w:val="20"/>
                <w:lang w:val="en-US" w:eastAsia="en-GB"/>
              </w:rPr>
            </w:pPr>
            <w:r w:rsidRPr="00454100">
              <w:rPr>
                <w:rFonts w:ascii="Arial" w:eastAsia="Times New Roman" w:hAnsi="Arial" w:cs="Arial"/>
                <w:b/>
                <w:iCs/>
                <w:noProof/>
                <w:sz w:val="20"/>
                <w:szCs w:val="20"/>
                <w:lang w:val="en-US" w:eastAsia="en-GB"/>
              </w:rPr>
              <w:t>Adopt oil pollution response regulations in accordance with international best practices.</w:t>
            </w:r>
          </w:p>
          <w:p w14:paraId="18D598DA" w14:textId="77777777" w:rsidR="00454100" w:rsidRPr="00454100" w:rsidRDefault="00454100" w:rsidP="00454100">
            <w:pPr>
              <w:pStyle w:val="MediumGrid1-Accent21"/>
              <w:tabs>
                <w:tab w:val="left" w:pos="0"/>
                <w:tab w:val="left" w:pos="709"/>
              </w:tabs>
              <w:spacing w:before="120"/>
              <w:ind w:left="0"/>
              <w:rPr>
                <w:rFonts w:ascii="Arial" w:eastAsia="Times New Roman" w:hAnsi="Arial" w:cs="Arial"/>
                <w:iCs/>
                <w:noProof/>
                <w:sz w:val="20"/>
                <w:szCs w:val="20"/>
                <w:lang w:val="en-US" w:eastAsia="en-GB"/>
              </w:rPr>
            </w:pPr>
            <w:r w:rsidRPr="00454100">
              <w:rPr>
                <w:rFonts w:ascii="Arial" w:eastAsia="Times New Roman" w:hAnsi="Arial" w:cs="Arial"/>
                <w:iCs/>
                <w:noProof/>
                <w:sz w:val="20"/>
                <w:szCs w:val="20"/>
                <w:lang w:val="en-US" w:eastAsia="en-GB"/>
              </w:rPr>
              <w:t>Adopt and enact the draft national oil contingency plan.</w:t>
            </w:r>
          </w:p>
          <w:p w14:paraId="55559BB1" w14:textId="77777777" w:rsidR="00454100" w:rsidRPr="00454100" w:rsidRDefault="00454100" w:rsidP="00454100">
            <w:pPr>
              <w:pStyle w:val="MediumGrid1-Accent21"/>
              <w:tabs>
                <w:tab w:val="left" w:pos="0"/>
                <w:tab w:val="left" w:pos="709"/>
              </w:tabs>
              <w:spacing w:before="120"/>
              <w:ind w:left="0"/>
              <w:rPr>
                <w:rFonts w:ascii="Arial" w:eastAsia="Times New Roman" w:hAnsi="Arial" w:cs="Arial"/>
                <w:iCs/>
                <w:noProof/>
                <w:sz w:val="20"/>
                <w:szCs w:val="20"/>
                <w:lang w:val="en-US" w:eastAsia="en-GB"/>
              </w:rPr>
            </w:pPr>
          </w:p>
          <w:p w14:paraId="5042AD7E" w14:textId="77777777" w:rsidR="00454100" w:rsidRPr="00454100" w:rsidRDefault="00454100" w:rsidP="00454100">
            <w:pPr>
              <w:pStyle w:val="MediumGrid1-Accent21"/>
              <w:tabs>
                <w:tab w:val="left" w:pos="0"/>
                <w:tab w:val="left" w:pos="709"/>
              </w:tabs>
              <w:spacing w:before="120"/>
              <w:ind w:left="0"/>
              <w:rPr>
                <w:rFonts w:ascii="Arial" w:eastAsia="Times New Roman" w:hAnsi="Arial" w:cs="Arial"/>
                <w:iCs/>
                <w:noProof/>
                <w:sz w:val="20"/>
                <w:szCs w:val="20"/>
                <w:lang w:val="en-US" w:eastAsia="en-GB"/>
              </w:rPr>
            </w:pPr>
            <w:r w:rsidRPr="00454100">
              <w:rPr>
                <w:rFonts w:ascii="Arial" w:eastAsia="Times New Roman" w:hAnsi="Arial" w:cs="Arial"/>
                <w:iCs/>
                <w:noProof/>
                <w:sz w:val="20"/>
                <w:szCs w:val="20"/>
                <w:lang w:val="en-US" w:eastAsia="en-GB"/>
              </w:rPr>
              <w:t>The GoB should speed up the enactment of the Marine Environment Conservation Act, 2004, creating a regulatory environment that would have the goal of controlling vessel-source marine pollution in Bangladesh’s marine environment.</w:t>
            </w:r>
          </w:p>
          <w:p w14:paraId="29068C99" w14:textId="77777777" w:rsidR="00454100" w:rsidRPr="00454100" w:rsidRDefault="00454100" w:rsidP="00454100">
            <w:pPr>
              <w:pStyle w:val="MediumGrid1-Accent21"/>
              <w:tabs>
                <w:tab w:val="left" w:pos="0"/>
                <w:tab w:val="left" w:pos="709"/>
              </w:tabs>
              <w:spacing w:before="120"/>
              <w:ind w:left="0"/>
              <w:rPr>
                <w:rFonts w:ascii="Arial" w:eastAsia="Times New Roman" w:hAnsi="Arial" w:cs="Arial"/>
                <w:iCs/>
                <w:noProof/>
                <w:sz w:val="20"/>
                <w:szCs w:val="20"/>
                <w:lang w:val="en-US" w:eastAsia="en-GB"/>
              </w:rPr>
            </w:pPr>
          </w:p>
          <w:p w14:paraId="7B4C8A8B" w14:textId="77777777" w:rsidR="00454100" w:rsidRPr="00454100" w:rsidRDefault="00454100" w:rsidP="00454100">
            <w:pPr>
              <w:pStyle w:val="MediumGrid1-Accent21"/>
              <w:tabs>
                <w:tab w:val="left" w:pos="0"/>
                <w:tab w:val="left" w:pos="709"/>
              </w:tabs>
              <w:spacing w:before="120"/>
              <w:ind w:left="0"/>
              <w:rPr>
                <w:rFonts w:ascii="Arial" w:eastAsia="Times New Roman" w:hAnsi="Arial" w:cs="Arial"/>
                <w:iCs/>
                <w:noProof/>
                <w:sz w:val="20"/>
                <w:szCs w:val="20"/>
                <w:lang w:val="en-US" w:eastAsia="en-GB"/>
              </w:rPr>
            </w:pPr>
            <w:r w:rsidRPr="00454100">
              <w:rPr>
                <w:rFonts w:ascii="Arial" w:eastAsia="Times New Roman" w:hAnsi="Arial" w:cs="Arial"/>
                <w:iCs/>
                <w:noProof/>
                <w:sz w:val="20"/>
                <w:szCs w:val="20"/>
                <w:lang w:val="en-US" w:eastAsia="en-GB"/>
              </w:rPr>
              <w:t>The Bangladesh Government should implement its obligations under the International Convention on Oil Pollution Preparedness, Response and Co-operation (OPRC) Convention it has ratified and consider ratification of further international conventions related to oil pollution.</w:t>
            </w:r>
          </w:p>
        </w:tc>
        <w:tc>
          <w:tcPr>
            <w:tcW w:w="2105" w:type="pct"/>
            <w:shd w:val="clear" w:color="auto" w:fill="auto"/>
          </w:tcPr>
          <w:p w14:paraId="426BE2D8" w14:textId="77777777" w:rsidR="00454100" w:rsidRPr="00454100" w:rsidRDefault="00454100" w:rsidP="00454100">
            <w:pPr>
              <w:pStyle w:val="MediumGrid1-Accent21"/>
              <w:tabs>
                <w:tab w:val="left" w:pos="0"/>
                <w:tab w:val="left" w:pos="709"/>
              </w:tabs>
              <w:spacing w:before="120"/>
              <w:ind w:left="0"/>
              <w:rPr>
                <w:rFonts w:ascii="Arial" w:eastAsia="Times New Roman" w:hAnsi="Arial" w:cs="Arial"/>
                <w:iCs/>
                <w:noProof/>
                <w:sz w:val="20"/>
                <w:szCs w:val="20"/>
                <w:lang w:val="en-US" w:eastAsia="en-GB"/>
              </w:rPr>
            </w:pPr>
            <w:r w:rsidRPr="00454100">
              <w:rPr>
                <w:rFonts w:ascii="Arial" w:eastAsia="Times New Roman" w:hAnsi="Arial" w:cs="Arial"/>
                <w:iCs/>
                <w:noProof/>
                <w:sz w:val="20"/>
                <w:szCs w:val="20"/>
                <w:lang w:val="en-US" w:eastAsia="en-GB"/>
              </w:rPr>
              <w:t xml:space="preserve">Enactment of the </w:t>
            </w:r>
            <w:r w:rsidRPr="00454100">
              <w:rPr>
                <w:rFonts w:ascii="Arial" w:eastAsia="Times New Roman" w:hAnsi="Arial" w:cs="Arial"/>
                <w:iCs/>
                <w:noProof/>
                <w:sz w:val="20"/>
                <w:szCs w:val="20"/>
                <w:lang w:eastAsia="en-GB"/>
              </w:rPr>
              <w:t>Marine Environment Conservation Act, 2004</w:t>
            </w:r>
            <w:r w:rsidRPr="00454100">
              <w:rPr>
                <w:rFonts w:ascii="Arial" w:eastAsia="Times New Roman" w:hAnsi="Arial" w:cs="Arial"/>
                <w:iCs/>
                <w:noProof/>
                <w:sz w:val="20"/>
                <w:szCs w:val="20"/>
                <w:lang w:val="en-US" w:eastAsia="en-GB"/>
              </w:rPr>
              <w:t xml:space="preserve"> would clarify the role and mandate of those agencies tasked with its enforcement and strengthen oil spill preparedness and response measures as well as allow for the adoption of a liability and compensation regime. The legislative instrument should include the requirement to establish the following response components; development or adoption of an incident management regime and the development and implementation of a damage claims and compensation program.</w:t>
            </w:r>
          </w:p>
          <w:p w14:paraId="3FEA451F" w14:textId="77777777" w:rsidR="00454100" w:rsidRPr="00454100" w:rsidRDefault="00454100" w:rsidP="00454100">
            <w:pPr>
              <w:pStyle w:val="MediumGrid1-Accent21"/>
              <w:tabs>
                <w:tab w:val="left" w:pos="0"/>
                <w:tab w:val="left" w:pos="709"/>
              </w:tabs>
              <w:spacing w:before="120"/>
              <w:ind w:left="0"/>
              <w:rPr>
                <w:rFonts w:ascii="Arial" w:eastAsia="Times New Roman" w:hAnsi="Arial" w:cs="Arial"/>
                <w:iCs/>
                <w:noProof/>
                <w:sz w:val="20"/>
                <w:szCs w:val="20"/>
                <w:lang w:val="en-US" w:eastAsia="en-GB"/>
              </w:rPr>
            </w:pPr>
          </w:p>
          <w:p w14:paraId="196A8923" w14:textId="2983232E" w:rsidR="00454100" w:rsidRPr="00454100" w:rsidRDefault="00454100" w:rsidP="00454100">
            <w:pPr>
              <w:pStyle w:val="MediumGrid1-Accent21"/>
              <w:tabs>
                <w:tab w:val="left" w:pos="0"/>
                <w:tab w:val="left" w:pos="709"/>
              </w:tabs>
              <w:spacing w:before="120"/>
              <w:ind w:left="0"/>
              <w:rPr>
                <w:rFonts w:ascii="Arial" w:eastAsia="Times New Roman" w:hAnsi="Arial" w:cs="Arial"/>
                <w:iCs/>
                <w:noProof/>
                <w:sz w:val="20"/>
                <w:szCs w:val="20"/>
                <w:lang w:val="en-US" w:eastAsia="en-GB"/>
              </w:rPr>
            </w:pPr>
            <w:r w:rsidRPr="00454100">
              <w:rPr>
                <w:rFonts w:ascii="Arial" w:eastAsia="Times New Roman" w:hAnsi="Arial" w:cs="Arial"/>
                <w:iCs/>
                <w:noProof/>
                <w:sz w:val="20"/>
                <w:szCs w:val="20"/>
                <w:lang w:val="en-US" w:eastAsia="en-GB"/>
              </w:rPr>
              <w:t>The OPRC Convention provides a framework for developing an effective response capability and contingency plan for oil spill response. Support to revise the oil spill contingency plan and implement the convention is availabe through the International Maritime Organisation (IMO). The national oil spill contingency plan can be further developed using a review/planning committee to integrate lessons learned, identify gaps and continuously improve through drills, exercises, workshops and training courses. Further Conventions that should be considered for ratification include the International Convention on Civil Liability for Oil Pollution Damage (CLC92), the International Oil Pollution Compensation Funds (IOPCF) and the International Convention on Civil Liability for Bunker Oil Pollution Damage (Bunkers01)</w:t>
            </w:r>
            <w:r w:rsidR="00113E69">
              <w:rPr>
                <w:rStyle w:val="EndnoteReference"/>
                <w:rFonts w:ascii="Arial" w:eastAsia="Times New Roman" w:hAnsi="Arial" w:cs="Arial"/>
                <w:iCs/>
                <w:noProof/>
                <w:sz w:val="20"/>
                <w:szCs w:val="20"/>
                <w:lang w:val="en-US" w:eastAsia="en-GB"/>
              </w:rPr>
              <w:endnoteReference w:id="1"/>
            </w:r>
            <w:r w:rsidRPr="00454100">
              <w:rPr>
                <w:rFonts w:ascii="Arial" w:eastAsia="Times New Roman" w:hAnsi="Arial" w:cs="Arial"/>
                <w:iCs/>
                <w:noProof/>
                <w:sz w:val="20"/>
                <w:szCs w:val="20"/>
                <w:lang w:val="en-US" w:eastAsia="en-GB"/>
              </w:rPr>
              <w:t>.</w:t>
            </w:r>
          </w:p>
          <w:p w14:paraId="271BB325" w14:textId="77777777" w:rsidR="00454100" w:rsidRPr="00454100" w:rsidRDefault="00454100" w:rsidP="00454100">
            <w:pPr>
              <w:pStyle w:val="MediumGrid1-Accent21"/>
              <w:tabs>
                <w:tab w:val="left" w:pos="0"/>
                <w:tab w:val="left" w:pos="709"/>
              </w:tabs>
              <w:spacing w:before="120"/>
              <w:ind w:left="0"/>
              <w:rPr>
                <w:rFonts w:ascii="Arial" w:eastAsia="Times New Roman" w:hAnsi="Arial" w:cs="Arial"/>
                <w:iCs/>
                <w:noProof/>
                <w:sz w:val="20"/>
                <w:szCs w:val="20"/>
                <w:lang w:val="en-US" w:eastAsia="en-GB"/>
              </w:rPr>
            </w:pPr>
          </w:p>
          <w:p w14:paraId="6CB46B74" w14:textId="77777777" w:rsidR="00454100" w:rsidRPr="00454100" w:rsidRDefault="00454100" w:rsidP="00454100">
            <w:pPr>
              <w:pStyle w:val="MediumGrid1-Accent21"/>
              <w:tabs>
                <w:tab w:val="left" w:pos="0"/>
                <w:tab w:val="left" w:pos="709"/>
              </w:tabs>
              <w:spacing w:before="120"/>
              <w:ind w:left="0"/>
              <w:rPr>
                <w:rFonts w:ascii="Arial" w:eastAsia="Times New Roman" w:hAnsi="Arial" w:cs="Arial"/>
                <w:iCs/>
                <w:noProof/>
                <w:sz w:val="20"/>
                <w:szCs w:val="20"/>
                <w:lang w:val="en-US" w:eastAsia="en-GB"/>
              </w:rPr>
            </w:pPr>
            <w:r w:rsidRPr="00454100">
              <w:rPr>
                <w:rFonts w:ascii="Arial" w:eastAsia="Times New Roman" w:hAnsi="Arial" w:cs="Arial"/>
                <w:iCs/>
                <w:noProof/>
                <w:sz w:val="20"/>
                <w:szCs w:val="20"/>
                <w:lang w:val="en-US" w:eastAsia="en-GB"/>
              </w:rPr>
              <w:t>Regional cooperation in response to an oil spill incident can be strengthened through engagement in relevant regional initiatives.</w:t>
            </w:r>
          </w:p>
          <w:p w14:paraId="608B3940" w14:textId="77777777" w:rsidR="00454100" w:rsidRPr="00454100" w:rsidRDefault="00454100" w:rsidP="00454100">
            <w:pPr>
              <w:pStyle w:val="MediumGrid1-Accent21"/>
              <w:tabs>
                <w:tab w:val="left" w:pos="0"/>
                <w:tab w:val="left" w:pos="709"/>
              </w:tabs>
              <w:spacing w:before="120"/>
              <w:ind w:left="0"/>
              <w:rPr>
                <w:rFonts w:ascii="Arial" w:eastAsia="Times New Roman" w:hAnsi="Arial" w:cs="Arial"/>
                <w:iCs/>
                <w:noProof/>
                <w:sz w:val="20"/>
                <w:szCs w:val="20"/>
                <w:lang w:val="en-US" w:eastAsia="en-GB"/>
              </w:rPr>
            </w:pPr>
          </w:p>
          <w:p w14:paraId="58202CAE" w14:textId="77777777" w:rsidR="00454100" w:rsidRPr="00454100" w:rsidRDefault="00454100" w:rsidP="00454100">
            <w:pPr>
              <w:pStyle w:val="MediumGrid1-Accent21"/>
              <w:tabs>
                <w:tab w:val="left" w:pos="0"/>
                <w:tab w:val="left" w:pos="709"/>
              </w:tabs>
              <w:spacing w:before="120"/>
              <w:ind w:left="0"/>
              <w:rPr>
                <w:rFonts w:ascii="Arial" w:eastAsia="Times New Roman" w:hAnsi="Arial" w:cs="Arial"/>
                <w:iCs/>
                <w:noProof/>
                <w:sz w:val="20"/>
                <w:szCs w:val="20"/>
                <w:lang w:val="en-US" w:eastAsia="en-GB"/>
              </w:rPr>
            </w:pPr>
            <w:r w:rsidRPr="00454100">
              <w:rPr>
                <w:rFonts w:ascii="Arial" w:eastAsia="Times New Roman" w:hAnsi="Arial" w:cs="Arial"/>
                <w:iCs/>
                <w:noProof/>
                <w:sz w:val="20"/>
                <w:szCs w:val="20"/>
                <w:lang w:val="en-US" w:eastAsia="en-GB"/>
              </w:rPr>
              <w:t>Oil spill contingency planning elements should also be included in the Sundarbans Reserve Forest management plan.</w:t>
            </w:r>
          </w:p>
          <w:p w14:paraId="655F06A5" w14:textId="77777777" w:rsidR="00454100" w:rsidRPr="00454100" w:rsidRDefault="00454100" w:rsidP="00454100">
            <w:pPr>
              <w:pStyle w:val="MediumGrid1-Accent21"/>
              <w:tabs>
                <w:tab w:val="left" w:pos="0"/>
                <w:tab w:val="left" w:pos="709"/>
              </w:tabs>
              <w:spacing w:before="120"/>
              <w:ind w:left="0"/>
              <w:rPr>
                <w:rFonts w:ascii="Arial" w:eastAsia="Times New Roman" w:hAnsi="Arial" w:cs="Arial"/>
                <w:iCs/>
                <w:noProof/>
                <w:sz w:val="20"/>
                <w:szCs w:val="20"/>
                <w:lang w:val="en-US" w:eastAsia="en-GB"/>
              </w:rPr>
            </w:pPr>
          </w:p>
          <w:p w14:paraId="098ED650" w14:textId="77777777" w:rsidR="00454100" w:rsidRPr="00454100" w:rsidRDefault="00454100" w:rsidP="00454100">
            <w:pPr>
              <w:pStyle w:val="MediumGrid1-Accent21"/>
              <w:tabs>
                <w:tab w:val="left" w:pos="0"/>
                <w:tab w:val="left" w:pos="709"/>
              </w:tabs>
              <w:spacing w:before="120"/>
              <w:ind w:left="0"/>
              <w:rPr>
                <w:rFonts w:ascii="Arial" w:eastAsia="Times New Roman" w:hAnsi="Arial" w:cs="Arial"/>
                <w:iCs/>
                <w:noProof/>
                <w:sz w:val="20"/>
                <w:szCs w:val="20"/>
                <w:lang w:val="en-US" w:eastAsia="en-GB"/>
              </w:rPr>
            </w:pPr>
            <w:r w:rsidRPr="00454100">
              <w:rPr>
                <w:rFonts w:ascii="Arial" w:eastAsia="Times New Roman" w:hAnsi="Arial" w:cs="Arial"/>
                <w:iCs/>
                <w:noProof/>
                <w:sz w:val="20"/>
                <w:szCs w:val="20"/>
                <w:lang w:val="en-US" w:eastAsia="en-GB"/>
              </w:rPr>
              <w:t>On all of above issues, capacity development capacity of staff should be an integral element.</w:t>
            </w:r>
          </w:p>
        </w:tc>
      </w:tr>
    </w:tbl>
    <w:p w14:paraId="1E72F36A" w14:textId="77777777" w:rsidR="00454100" w:rsidRPr="00454100" w:rsidRDefault="00454100" w:rsidP="00386AE1">
      <w:pPr>
        <w:pStyle w:val="ochacontenttext"/>
        <w:jc w:val="both"/>
        <w:rPr>
          <w:rFonts w:eastAsiaTheme="minorHAnsi" w:cs="Arial"/>
          <w:szCs w:val="20"/>
          <w:lang w:val="en-GB" w:eastAsia="en-US"/>
        </w:rPr>
      </w:pPr>
    </w:p>
    <w:sectPr w:rsidR="00454100" w:rsidRPr="00454100" w:rsidSect="00C01758">
      <w:headerReference w:type="first" r:id="rId20"/>
      <w:pgSz w:w="15840" w:h="12240" w:orient="landscape" w:code="9"/>
      <w:pgMar w:top="851" w:right="567" w:bottom="567" w:left="1701" w:header="567" w:footer="45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662DA55" w14:textId="77777777" w:rsidR="00CC6097" w:rsidRDefault="00CC6097" w:rsidP="00244D64">
      <w:r>
        <w:separator/>
      </w:r>
    </w:p>
    <w:p w14:paraId="195E9578" w14:textId="77777777" w:rsidR="00CC6097" w:rsidRDefault="00CC6097"/>
  </w:endnote>
  <w:endnote w:type="continuationSeparator" w:id="0">
    <w:p w14:paraId="70951020" w14:textId="77777777" w:rsidR="00CC6097" w:rsidRDefault="00CC6097" w:rsidP="00244D64">
      <w:r>
        <w:continuationSeparator/>
      </w:r>
    </w:p>
    <w:p w14:paraId="21989C81" w14:textId="77777777" w:rsidR="00CC6097" w:rsidRDefault="00CC6097"/>
  </w:endnote>
  <w:endnote w:id="1">
    <w:p w14:paraId="26E96CEF" w14:textId="0081A80A" w:rsidR="00113E69" w:rsidRDefault="00113E69">
      <w:pPr>
        <w:pStyle w:val="EndnoteText"/>
      </w:pPr>
      <w:r>
        <w:rPr>
          <w:rStyle w:val="EndnoteReference"/>
        </w:rPr>
        <w:endnoteRef/>
      </w:r>
      <w:r>
        <w:t xml:space="preserve"> </w:t>
      </w:r>
      <w:r w:rsidRPr="00386AE1">
        <w:rPr>
          <w:rFonts w:cs="Arial"/>
          <w:sz w:val="16"/>
          <w:szCs w:val="16"/>
        </w:rPr>
        <w:t xml:space="preserve">The International Convention on Oil Pollution Preparedness, Response and Co-operation convention aims at providing a global framework for international co-operation in combating major incidents or threats of marine pollution </w:t>
      </w:r>
      <w:hyperlink r:id="rId1" w:history="1">
        <w:r w:rsidRPr="00386AE1">
          <w:rPr>
            <w:rStyle w:val="Hyperlink"/>
            <w:rFonts w:cs="Arial"/>
            <w:sz w:val="16"/>
            <w:szCs w:val="16"/>
          </w:rPr>
          <w:t>http://www.imo.org/About/Conventions/ListOfConventions/Pages/International-Convention-on-Oil-Pollution-Preparedness,-Response-and-Co-operation-(OPRC).aspx</w:t>
        </w:r>
      </w:hyperlink>
      <w:r w:rsidRPr="00386AE1">
        <w:rPr>
          <w:rFonts w:cs="Arial"/>
          <w:sz w:val="16"/>
          <w:szCs w:val="16"/>
        </w:rPr>
        <w:t xml:space="preserve">. The International Oil Pollution Compensation Funds are three intergovernmental organisations which provide compensation for oil pollution damage resulting from spills of persistent oil from tankers. The Bunkers Convention was adopted to ensure that adequate, prompt, and effective compensation is available to persons who suffer damage caused by spills of oil, when carried as fuel in ships' bunkers. </w:t>
      </w:r>
      <w:hyperlink r:id="rId2" w:history="1">
        <w:r w:rsidRPr="00386AE1">
          <w:rPr>
            <w:rStyle w:val="Hyperlink"/>
            <w:rFonts w:cs="Arial"/>
            <w:sz w:val="16"/>
            <w:szCs w:val="16"/>
          </w:rPr>
          <w:t>http://www.iopcfunds.org/</w:t>
        </w:r>
      </w:hyperlink>
      <w:r w:rsidRPr="00386AE1">
        <w:rPr>
          <w:rStyle w:val="Hyperlink"/>
          <w:rFonts w:cs="Arial"/>
          <w:sz w:val="16"/>
          <w:szCs w:val="16"/>
        </w:rPr>
        <w:t xml:space="preserve"> http://www.imo.org/About/Conventions/ListOfConventions/Pages/International-Convention-on-Civil-Liability-for-Bunker-Oil-Pollution-Damage-%28BUNKER%29.aspx</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73F5B7" w14:textId="77777777" w:rsidR="00454100" w:rsidRPr="00187447" w:rsidRDefault="00454100" w:rsidP="00F14133">
    <w:pPr>
      <w:pStyle w:val="Footer"/>
      <w:jc w:val="center"/>
      <w:rPr>
        <w:rFonts w:cs="Arial"/>
        <w:color w:val="808080" w:themeColor="background1" w:themeShade="80"/>
        <w:sz w:val="16"/>
      </w:rPr>
    </w:pPr>
    <w:r w:rsidRPr="00187447">
      <w:rPr>
        <w:noProof/>
        <w:lang w:val="en-GB" w:eastAsia="en-GB"/>
      </w:rPr>
      <mc:AlternateContent>
        <mc:Choice Requires="wps">
          <w:drawing>
            <wp:anchor distT="4294967295" distB="4294967295" distL="114300" distR="114300" simplePos="0" relativeHeight="251658240" behindDoc="0" locked="0" layoutInCell="1" allowOverlap="1" wp14:anchorId="5B564B62" wp14:editId="1896C525">
              <wp:simplePos x="0" y="0"/>
              <wp:positionH relativeFrom="page">
                <wp:align>center</wp:align>
              </wp:positionH>
              <wp:positionV relativeFrom="paragraph">
                <wp:posOffset>-82550</wp:posOffset>
              </wp:positionV>
              <wp:extent cx="6480000" cy="0"/>
              <wp:effectExtent l="0" t="0" r="16510" b="1905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800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w15="http://schemas.microsoft.com/office/word/2012/wordml">
          <w:pict>
            <v:line w14:anchorId="61387053" id="Straight Connector 10" o:spid="_x0000_s1026" style="position:absolute;left:0;text-align:left;z-index:251658240;visibility:visible;mso-wrap-style:square;mso-width-percent:0;mso-height-percent:0;mso-wrap-distance-left:9pt;mso-wrap-distance-top:-3e-5mm;mso-wrap-distance-right:9pt;mso-wrap-distance-bottom:-3e-5mm;mso-position-horizontal:center;mso-position-horizontal-relative:page;mso-position-vertical:absolute;mso-position-vertical-relative:text;mso-width-percent:0;mso-height-percent:0;mso-width-relative:margin;mso-height-relative:page" from="0,-6.5pt" to="510.2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" strokecolor="#4579b8 [3044]">
              <o:lock v:ext="edit" shapetype="f"/>
              <w10:wrap anchorx="page"/>
            </v:line>
          </w:pict>
        </mc:Fallback>
      </mc:AlternateContent>
    </w:r>
    <w:r w:rsidRPr="00187447">
      <w:rPr>
        <w:rFonts w:cs="Arial"/>
        <w:color w:val="808080" w:themeColor="background1" w:themeShade="80"/>
        <w:sz w:val="16"/>
      </w:rPr>
      <w:t>United Nations Office for the Coordination of</w:t>
    </w:r>
    <w:r>
      <w:rPr>
        <w:rFonts w:cs="Arial"/>
        <w:color w:val="808080" w:themeColor="background1" w:themeShade="80"/>
        <w:sz w:val="16"/>
      </w:rPr>
      <w:t xml:space="preserve"> Humanitarian Affairs (OCHA)</w:t>
    </w:r>
  </w:p>
  <w:p w14:paraId="61A638C8" w14:textId="77777777" w:rsidR="00454100" w:rsidRPr="001850E1" w:rsidRDefault="00454100" w:rsidP="00F14133">
    <w:pPr>
      <w:pStyle w:val="Footer"/>
      <w:jc w:val="center"/>
      <w:rPr>
        <w:rFonts w:cs="Arial"/>
        <w:i/>
        <w:sz w:val="16"/>
        <w:szCs w:val="16"/>
      </w:rPr>
    </w:pPr>
    <w:r w:rsidRPr="001850E1">
      <w:rPr>
        <w:rFonts w:cs="Arial"/>
        <w:color w:val="056CB6"/>
        <w:sz w:val="16"/>
      </w:rPr>
      <w:t>Coordination Saves Lives | www.unocha.org</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DBD779" w14:textId="77777777" w:rsidR="00454100" w:rsidRPr="00350697" w:rsidRDefault="00454100" w:rsidP="00187447">
    <w:pPr>
      <w:pStyle w:val="Footer"/>
      <w:jc w:val="center"/>
      <w:rPr>
        <w:rFonts w:cs="Arial"/>
        <w:b/>
        <w:color w:val="056CB6"/>
        <w:sz w:val="16"/>
      </w:rPr>
    </w:pPr>
    <w:r w:rsidRPr="00187447">
      <w:rPr>
        <w:noProof/>
        <w:lang w:val="en-GB" w:eastAsia="en-GB"/>
      </w:rPr>
      <mc:AlternateContent>
        <mc:Choice Requires="wps">
          <w:drawing>
            <wp:anchor distT="4294967295" distB="4294967295" distL="114300" distR="114300" simplePos="0" relativeHeight="251657216" behindDoc="0" locked="0" layoutInCell="1" allowOverlap="1" wp14:anchorId="6B15EE69" wp14:editId="43682768">
              <wp:simplePos x="0" y="0"/>
              <wp:positionH relativeFrom="page">
                <wp:posOffset>540385</wp:posOffset>
              </wp:positionH>
              <wp:positionV relativeFrom="paragraph">
                <wp:posOffset>-82550</wp:posOffset>
              </wp:positionV>
              <wp:extent cx="6480000" cy="0"/>
              <wp:effectExtent l="0" t="0" r="16510" b="19050"/>
              <wp:wrapNone/>
              <wp:docPr id="26" name="Straight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800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w15="http://schemas.microsoft.com/office/word/2012/wordml">
          <w:pict>
            <v:line w14:anchorId="6B23B7DB" id="Straight Connector 26" o:spid="_x0000_s1026" style="position:absolute;left:0;text-align:left;z-index:251657216;visibility:visible;mso-wrap-style:square;mso-width-percent:0;mso-height-percent:0;mso-wrap-distance-left:9pt;mso-wrap-distance-top:-3e-5mm;mso-wrap-distance-right:9pt;mso-wrap-distance-bottom:-3e-5mm;mso-position-horizontal:absolute;mso-position-horizontal-relative:page;mso-position-vertical:absolute;mso-position-vertical-relative:text;mso-width-percent:0;mso-height-percent:0;mso-width-relative:margin;mso-height-relative:page" from="42.55pt,-6.5pt" to="552.8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" strokecolor="#4579b8 [3044]">
              <o:lock v:ext="edit" shapetype="f"/>
              <w10:wrap anchorx="page"/>
            </v:line>
          </w:pict>
        </mc:Fallback>
      </mc:AlternateContent>
    </w:r>
    <w:r w:rsidRPr="00350697">
      <w:rPr>
        <w:rFonts w:cs="Arial"/>
        <w:b/>
        <w:color w:val="056CB6"/>
        <w:sz w:val="16"/>
      </w:rPr>
      <w:t>www.unocha.org</w:t>
    </w:r>
  </w:p>
  <w:p w14:paraId="46E5E8DD" w14:textId="77777777" w:rsidR="00454100" w:rsidRPr="00187447" w:rsidRDefault="00454100" w:rsidP="00187447">
    <w:pPr>
      <w:pStyle w:val="Footer"/>
      <w:jc w:val="center"/>
      <w:rPr>
        <w:rFonts w:cs="Arial"/>
        <w:color w:val="808080" w:themeColor="background1" w:themeShade="80"/>
        <w:sz w:val="16"/>
      </w:rPr>
    </w:pPr>
    <w:r w:rsidRPr="00187447">
      <w:rPr>
        <w:rFonts w:cs="Arial"/>
        <w:color w:val="808080" w:themeColor="background1" w:themeShade="80"/>
        <w:sz w:val="16"/>
      </w:rPr>
      <w:t>The mission of the United Nations Office for the Coordination of Humanitarian Affairs (OCHA) is to mobilize and coordinate effective and principled humanitarian action in partnership with national and international actors.</w:t>
    </w:r>
  </w:p>
  <w:p w14:paraId="7D23510F" w14:textId="77777777" w:rsidR="00454100" w:rsidRPr="00187447" w:rsidRDefault="00454100" w:rsidP="00187447">
    <w:pPr>
      <w:pStyle w:val="Footer"/>
      <w:jc w:val="center"/>
      <w:rPr>
        <w:rFonts w:cs="Arial"/>
        <w:i/>
        <w:sz w:val="16"/>
        <w:szCs w:val="16"/>
      </w:rPr>
    </w:pPr>
    <w:r>
      <w:rPr>
        <w:rFonts w:cs="Arial"/>
        <w:b/>
        <w:color w:val="056CB6"/>
        <w:sz w:val="16"/>
      </w:rPr>
      <w:t>Coordination Saves Lives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BAF672A" w14:textId="77777777" w:rsidR="00CC6097" w:rsidRDefault="00CC6097" w:rsidP="00244D64">
      <w:r>
        <w:separator/>
      </w:r>
    </w:p>
    <w:p w14:paraId="2315A4C7" w14:textId="77777777" w:rsidR="00CC6097" w:rsidRDefault="00CC6097"/>
  </w:footnote>
  <w:footnote w:type="continuationSeparator" w:id="0">
    <w:p w14:paraId="30B64F54" w14:textId="77777777" w:rsidR="00CC6097" w:rsidRDefault="00CC6097" w:rsidP="00244D64">
      <w:r>
        <w:continuationSeparator/>
      </w:r>
    </w:p>
    <w:p w14:paraId="5D0E0C0D" w14:textId="77777777" w:rsidR="00CC6097" w:rsidRDefault="00CC609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95960C" w14:textId="77777777" w:rsidR="00454100" w:rsidRPr="00435969" w:rsidRDefault="00454100" w:rsidP="00A44EF2">
    <w:pPr>
      <w:pStyle w:val="ochaheaderfooter"/>
      <w:jc w:val="right"/>
      <w:rPr>
        <w:color w:val="026CB6"/>
        <w:sz w:val="20"/>
        <w:szCs w:val="20"/>
      </w:rPr>
    </w:pPr>
    <w:r>
      <w:rPr>
        <w:noProof/>
        <w:color w:val="026CB6"/>
        <w:szCs w:val="20"/>
        <w:lang w:val="en-GB" w:eastAsia="en-GB"/>
      </w:rPr>
      <mc:AlternateContent>
        <mc:Choice Requires="wps">
          <w:drawing>
            <wp:anchor distT="4294967295" distB="4294967295" distL="114300" distR="114300" simplePos="0" relativeHeight="251656192" behindDoc="0" locked="0" layoutInCell="1" allowOverlap="1" wp14:anchorId="305139B6" wp14:editId="371FD5B5">
              <wp:simplePos x="0" y="0"/>
              <wp:positionH relativeFrom="page">
                <wp:align>center</wp:align>
              </wp:positionH>
              <wp:positionV relativeFrom="page">
                <wp:posOffset>540385</wp:posOffset>
              </wp:positionV>
              <wp:extent cx="6480000" cy="0"/>
              <wp:effectExtent l="0" t="0" r="16510"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64800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w15="http://schemas.microsoft.com/office/word/2012/wordml">
          <w:pict>
            <v:line w14:anchorId="0C5A9383" id="Straight Connector 7" o:spid="_x0000_s1026" style="position:absolute;left:0;text-align:left;flip:x;z-index:251656192;visibility:visible;mso-wrap-style:square;mso-width-percent:0;mso-height-percent:0;mso-wrap-distance-left:9pt;mso-wrap-distance-top:-3e-5mm;mso-wrap-distance-right:9pt;mso-wrap-distance-bottom:-3e-5mm;mso-position-horizontal:center;mso-position-horizontal-relative:page;mso-position-vertical:absolute;mso-position-vertical-relative:page;mso-width-percent:0;mso-height-percent:0;mso-width-relative:margin;mso-height-relative:page" from="0,42.55pt" to="510.25pt,4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" strokecolor="#4579b8 [3044]">
              <o:lock v:ext="edit" shapetype="f"/>
              <w10:wrap anchorx="page" anchory="page"/>
            </v:line>
          </w:pict>
        </mc:Fallback>
      </mc:AlternateContent>
    </w:r>
    <w:r>
      <w:rPr>
        <w:noProof/>
        <w:color w:val="026CB6"/>
        <w:szCs w:val="20"/>
        <w:lang w:eastAsia="en-US"/>
      </w:rPr>
      <w:t>UNDAC – Field Coordination and Support Section (FCSS)</w:t>
    </w:r>
  </w:p>
  <w:p w14:paraId="57AA349B" w14:textId="77777777" w:rsidR="00454100" w:rsidRDefault="00454100"/>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5579A8" w14:textId="77777777" w:rsidR="00454100" w:rsidRDefault="0045410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F21DB8"/>
    <w:multiLevelType w:val="hybridMultilevel"/>
    <w:tmpl w:val="9676BAE8"/>
    <w:lvl w:ilvl="0" w:tplc="040C0003">
      <w:start w:val="1"/>
      <w:numFmt w:val="bullet"/>
      <w:lvlText w:val="o"/>
      <w:lvlJc w:val="left"/>
      <w:pPr>
        <w:ind w:left="1080" w:hanging="360"/>
      </w:pPr>
      <w:rPr>
        <w:rFonts w:ascii="Courier New" w:hAnsi="Courier New" w:cs="Courier New" w:hint="default"/>
      </w:r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1">
    <w:nsid w:val="11B02E62"/>
    <w:multiLevelType w:val="hybridMultilevel"/>
    <w:tmpl w:val="1DF4772C"/>
    <w:lvl w:ilvl="0" w:tplc="5442F2F8">
      <w:start w:val="9"/>
      <w:numFmt w:val="bullet"/>
      <w:lvlText w:val="-"/>
      <w:lvlJc w:val="left"/>
      <w:pPr>
        <w:tabs>
          <w:tab w:val="num" w:pos="2340"/>
        </w:tabs>
        <w:ind w:left="234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5FC09CE"/>
    <w:multiLevelType w:val="hybridMultilevel"/>
    <w:tmpl w:val="07CA2BF2"/>
    <w:lvl w:ilvl="0" w:tplc="570E45D6">
      <w:start w:val="1"/>
      <w:numFmt w:val="bullet"/>
      <w:pStyle w:val="ochabulletpoint"/>
      <w:lvlText w:val=""/>
      <w:lvlJc w:val="left"/>
      <w:pPr>
        <w:ind w:left="720" w:hanging="360"/>
      </w:pPr>
      <w:rPr>
        <w:rFonts w:ascii="Symbol" w:hAnsi="Symbol" w:hint="default"/>
        <w:color w:val="026CB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BE30DB8"/>
    <w:multiLevelType w:val="hybridMultilevel"/>
    <w:tmpl w:val="F9EA4438"/>
    <w:lvl w:ilvl="0" w:tplc="76F05374">
      <w:start w:val="1"/>
      <w:numFmt w:val="bullet"/>
      <w:lvlText w:val=""/>
      <w:lvlJc w:val="left"/>
      <w:pPr>
        <w:ind w:left="720" w:hanging="360"/>
      </w:pPr>
      <w:rPr>
        <w:rFonts w:ascii="Symbol" w:hAnsi="Symbol" w:hint="default"/>
        <w:color w:val="026CB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B4366C6"/>
    <w:multiLevelType w:val="hybridMultilevel"/>
    <w:tmpl w:val="1FBAA59A"/>
    <w:lvl w:ilvl="0" w:tplc="27C65A36">
      <w:start w:val="1"/>
      <w:numFmt w:val="bullet"/>
      <w:lvlText w:val=""/>
      <w:lvlJc w:val="left"/>
      <w:pPr>
        <w:ind w:left="780" w:hanging="420"/>
      </w:pPr>
      <w:rPr>
        <w:rFonts w:ascii="Wingdings" w:hAnsi="Wingdings"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5">
    <w:nsid w:val="324E1032"/>
    <w:multiLevelType w:val="hybridMultilevel"/>
    <w:tmpl w:val="00A28BBA"/>
    <w:lvl w:ilvl="0" w:tplc="49523A34">
      <w:start w:val="1"/>
      <w:numFmt w:val="decimal"/>
      <w:lvlText w:val="%1."/>
      <w:lvlJc w:val="left"/>
      <w:pPr>
        <w:tabs>
          <w:tab w:val="num" w:pos="720"/>
        </w:tabs>
        <w:ind w:left="720" w:hanging="360"/>
      </w:pPr>
      <w:rPr>
        <w:b/>
        <w:bCs/>
      </w:rPr>
    </w:lvl>
    <w:lvl w:ilvl="1" w:tplc="040C000B">
      <w:start w:val="1"/>
      <w:numFmt w:val="bullet"/>
      <w:lvlText w:val=""/>
      <w:lvlJc w:val="left"/>
      <w:pPr>
        <w:tabs>
          <w:tab w:val="num" w:pos="1440"/>
        </w:tabs>
        <w:ind w:left="1440" w:hanging="360"/>
      </w:pPr>
      <w:rPr>
        <w:rFonts w:ascii="Wingdings" w:hAnsi="Wingdings" w:hint="default"/>
      </w:rPr>
    </w:lvl>
    <w:lvl w:ilvl="2" w:tplc="5442F2F8">
      <w:start w:val="9"/>
      <w:numFmt w:val="bullet"/>
      <w:lvlText w:val="-"/>
      <w:lvlJc w:val="left"/>
      <w:pPr>
        <w:tabs>
          <w:tab w:val="num" w:pos="2340"/>
        </w:tabs>
        <w:ind w:left="2340" w:hanging="360"/>
      </w:pPr>
      <w:rPr>
        <w:rFonts w:ascii="Arial" w:eastAsia="Times New Roman" w:hAnsi="Arial" w:cs="Aria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386D7AC7"/>
    <w:multiLevelType w:val="hybridMultilevel"/>
    <w:tmpl w:val="0C5456EC"/>
    <w:lvl w:ilvl="0" w:tplc="5442F2F8">
      <w:start w:val="9"/>
      <w:numFmt w:val="bullet"/>
      <w:lvlText w:val="-"/>
      <w:lvlJc w:val="left"/>
      <w:pPr>
        <w:tabs>
          <w:tab w:val="num" w:pos="2340"/>
        </w:tabs>
        <w:ind w:left="234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39C61CBD"/>
    <w:multiLevelType w:val="hybridMultilevel"/>
    <w:tmpl w:val="611E3FBA"/>
    <w:lvl w:ilvl="0" w:tplc="040C000B">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8">
    <w:nsid w:val="4B955D65"/>
    <w:multiLevelType w:val="hybridMultilevel"/>
    <w:tmpl w:val="26865884"/>
    <w:lvl w:ilvl="0" w:tplc="49523A34">
      <w:start w:val="1"/>
      <w:numFmt w:val="decimal"/>
      <w:lvlText w:val="%1."/>
      <w:lvlJc w:val="left"/>
      <w:pPr>
        <w:tabs>
          <w:tab w:val="num" w:pos="720"/>
        </w:tabs>
        <w:ind w:left="720" w:hanging="360"/>
      </w:pPr>
      <w:rPr>
        <w:b/>
        <w:bCs/>
      </w:rPr>
    </w:lvl>
    <w:lvl w:ilvl="1" w:tplc="04090019">
      <w:start w:val="1"/>
      <w:numFmt w:val="lowerLetter"/>
      <w:lvlText w:val="%2."/>
      <w:lvlJc w:val="left"/>
      <w:pPr>
        <w:tabs>
          <w:tab w:val="num" w:pos="1440"/>
        </w:tabs>
        <w:ind w:left="1440" w:hanging="360"/>
      </w:pPr>
    </w:lvl>
    <w:lvl w:ilvl="2" w:tplc="5442F2F8">
      <w:start w:val="9"/>
      <w:numFmt w:val="bullet"/>
      <w:lvlText w:val="-"/>
      <w:lvlJc w:val="left"/>
      <w:pPr>
        <w:tabs>
          <w:tab w:val="num" w:pos="2340"/>
        </w:tabs>
        <w:ind w:left="2340" w:hanging="360"/>
      </w:pPr>
      <w:rPr>
        <w:rFonts w:ascii="Arial" w:eastAsia="Times New Roman" w:hAnsi="Arial" w:cs="Aria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5B6E4987"/>
    <w:multiLevelType w:val="hybridMultilevel"/>
    <w:tmpl w:val="73F4F2AE"/>
    <w:lvl w:ilvl="0" w:tplc="5BCC30B2">
      <w:start w:val="1"/>
      <w:numFmt w:val="decimal"/>
      <w:lvlText w:val="%1."/>
      <w:lvlJc w:val="left"/>
      <w:pPr>
        <w:ind w:left="1004" w:hanging="360"/>
      </w:pPr>
      <w:rPr>
        <w:rFonts w:hint="default"/>
        <w:color w:val="026CB6"/>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0">
    <w:nsid w:val="5D6661C8"/>
    <w:multiLevelType w:val="hybridMultilevel"/>
    <w:tmpl w:val="E014146E"/>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1">
    <w:nsid w:val="5EEF2F8E"/>
    <w:multiLevelType w:val="hybridMultilevel"/>
    <w:tmpl w:val="4434E4EC"/>
    <w:lvl w:ilvl="0" w:tplc="5442F2F8">
      <w:start w:val="9"/>
      <w:numFmt w:val="bullet"/>
      <w:lvlText w:val="-"/>
      <w:lvlJc w:val="left"/>
      <w:pPr>
        <w:tabs>
          <w:tab w:val="num" w:pos="2340"/>
        </w:tabs>
        <w:ind w:left="234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72A45AA5"/>
    <w:multiLevelType w:val="hybridMultilevel"/>
    <w:tmpl w:val="57B8AD5C"/>
    <w:lvl w:ilvl="0" w:tplc="040C000F">
      <w:start w:val="1"/>
      <w:numFmt w:val="decimal"/>
      <w:lvlText w:val="%1."/>
      <w:lvlJc w:val="left"/>
      <w:pPr>
        <w:ind w:left="720" w:hanging="360"/>
      </w:pPr>
      <w:rPr>
        <w:rFonts w:hint="default"/>
      </w:rPr>
    </w:lvl>
    <w:lvl w:ilvl="1" w:tplc="30F69C0C">
      <w:start w:val="1"/>
      <w:numFmt w:val="lowerLetter"/>
      <w:lvlText w:val="%2."/>
      <w:lvlJc w:val="left"/>
      <w:pPr>
        <w:ind w:left="1440" w:hanging="360"/>
      </w:pPr>
      <w:rPr>
        <w:rFonts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763C3851"/>
    <w:multiLevelType w:val="hybridMultilevel"/>
    <w:tmpl w:val="95BA7F80"/>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7B605A9F"/>
    <w:multiLevelType w:val="hybridMultilevel"/>
    <w:tmpl w:val="3C3425CA"/>
    <w:lvl w:ilvl="0" w:tplc="1DFC9DB2">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E5E23CC"/>
    <w:multiLevelType w:val="hybridMultilevel"/>
    <w:tmpl w:val="DDF8177A"/>
    <w:lvl w:ilvl="0" w:tplc="08090019">
      <w:start w:val="1"/>
      <w:numFmt w:val="lowerLetter"/>
      <w:lvlText w:val="%1."/>
      <w:lvlJc w:val="left"/>
      <w:pPr>
        <w:ind w:left="1080" w:hanging="360"/>
      </w:p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num w:numId="1">
    <w:abstractNumId w:val="3"/>
  </w:num>
  <w:num w:numId="2">
    <w:abstractNumId w:val="2"/>
  </w:num>
  <w:num w:numId="3">
    <w:abstractNumId w:val="9"/>
  </w:num>
  <w:num w:numId="4">
    <w:abstractNumId w:val="14"/>
  </w:num>
  <w:num w:numId="5">
    <w:abstractNumId w:val="13"/>
  </w:num>
  <w:num w:numId="6">
    <w:abstractNumId w:val="12"/>
  </w:num>
  <w:num w:numId="7">
    <w:abstractNumId w:val="10"/>
  </w:num>
  <w:num w:numId="8">
    <w:abstractNumId w:val="15"/>
  </w:num>
  <w:num w:numId="9">
    <w:abstractNumId w:val="7"/>
  </w:num>
  <w:num w:numId="10">
    <w:abstractNumId w:val="0"/>
  </w:num>
  <w:num w:numId="11">
    <w:abstractNumId w:val="8"/>
  </w:num>
  <w:num w:numId="12">
    <w:abstractNumId w:val="5"/>
  </w:num>
  <w:num w:numId="13">
    <w:abstractNumId w:val="6"/>
  </w:num>
  <w:num w:numId="14">
    <w:abstractNumId w:val="1"/>
  </w:num>
  <w:num w:numId="15">
    <w:abstractNumId w:val="11"/>
  </w:num>
  <w:num w:numId="16">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DR-7">
    <w15:presenceInfo w15:providerId="None" w15:userId="JDR-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ttachedTemplate r:id="rId1"/>
  <w:defaultTabStop w:val="720"/>
  <w:hyphenationZone w:val="425"/>
  <w:characterSpacingControl w:val="doNotCompress"/>
  <w:hdrShapeDefaults>
    <o:shapedefaults v:ext="edit" spidmax="8193">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1394"/>
    <w:rsid w:val="000101D3"/>
    <w:rsid w:val="0001276B"/>
    <w:rsid w:val="000173C3"/>
    <w:rsid w:val="0001763E"/>
    <w:rsid w:val="0003449C"/>
    <w:rsid w:val="00036C30"/>
    <w:rsid w:val="00040738"/>
    <w:rsid w:val="00041760"/>
    <w:rsid w:val="000530BF"/>
    <w:rsid w:val="0006149B"/>
    <w:rsid w:val="000702D9"/>
    <w:rsid w:val="0007243A"/>
    <w:rsid w:val="00073E88"/>
    <w:rsid w:val="00082215"/>
    <w:rsid w:val="00083097"/>
    <w:rsid w:val="0008353F"/>
    <w:rsid w:val="0008415F"/>
    <w:rsid w:val="000873AC"/>
    <w:rsid w:val="000939CD"/>
    <w:rsid w:val="00095C01"/>
    <w:rsid w:val="000977FF"/>
    <w:rsid w:val="000A10ED"/>
    <w:rsid w:val="000A2C39"/>
    <w:rsid w:val="000A5A6F"/>
    <w:rsid w:val="000B35C8"/>
    <w:rsid w:val="000C4148"/>
    <w:rsid w:val="000C4875"/>
    <w:rsid w:val="000D2627"/>
    <w:rsid w:val="000E1D53"/>
    <w:rsid w:val="000F4FAC"/>
    <w:rsid w:val="00113E69"/>
    <w:rsid w:val="00131A31"/>
    <w:rsid w:val="00131D0F"/>
    <w:rsid w:val="001334D5"/>
    <w:rsid w:val="001367C6"/>
    <w:rsid w:val="00137383"/>
    <w:rsid w:val="001458E9"/>
    <w:rsid w:val="00160C5B"/>
    <w:rsid w:val="00166FF7"/>
    <w:rsid w:val="001841FE"/>
    <w:rsid w:val="001850E1"/>
    <w:rsid w:val="00187447"/>
    <w:rsid w:val="00192C7D"/>
    <w:rsid w:val="001A6A58"/>
    <w:rsid w:val="001C0281"/>
    <w:rsid w:val="001D095D"/>
    <w:rsid w:val="001D2EF1"/>
    <w:rsid w:val="001F0DD1"/>
    <w:rsid w:val="00201BF1"/>
    <w:rsid w:val="002033EF"/>
    <w:rsid w:val="00203CF8"/>
    <w:rsid w:val="00210ADB"/>
    <w:rsid w:val="00216E39"/>
    <w:rsid w:val="00221AA2"/>
    <w:rsid w:val="002343FD"/>
    <w:rsid w:val="00244D64"/>
    <w:rsid w:val="002520D3"/>
    <w:rsid w:val="00254E12"/>
    <w:rsid w:val="0026725C"/>
    <w:rsid w:val="00267DFB"/>
    <w:rsid w:val="00274411"/>
    <w:rsid w:val="002774EA"/>
    <w:rsid w:val="002934AB"/>
    <w:rsid w:val="0029770E"/>
    <w:rsid w:val="002A3F07"/>
    <w:rsid w:val="002B065D"/>
    <w:rsid w:val="002B1370"/>
    <w:rsid w:val="002B23BF"/>
    <w:rsid w:val="002B45D0"/>
    <w:rsid w:val="002C7F38"/>
    <w:rsid w:val="002E7B81"/>
    <w:rsid w:val="00302D57"/>
    <w:rsid w:val="0031001D"/>
    <w:rsid w:val="00312BCC"/>
    <w:rsid w:val="00320D3A"/>
    <w:rsid w:val="003218BB"/>
    <w:rsid w:val="00326264"/>
    <w:rsid w:val="00326FB3"/>
    <w:rsid w:val="00342663"/>
    <w:rsid w:val="003449DE"/>
    <w:rsid w:val="00345FE4"/>
    <w:rsid w:val="00346C3B"/>
    <w:rsid w:val="00351060"/>
    <w:rsid w:val="00357178"/>
    <w:rsid w:val="00361A4F"/>
    <w:rsid w:val="0036303A"/>
    <w:rsid w:val="003836A5"/>
    <w:rsid w:val="00386AE1"/>
    <w:rsid w:val="003915C7"/>
    <w:rsid w:val="00397873"/>
    <w:rsid w:val="003A492C"/>
    <w:rsid w:val="003A55B7"/>
    <w:rsid w:val="003C578E"/>
    <w:rsid w:val="003D23A9"/>
    <w:rsid w:val="003D2E3A"/>
    <w:rsid w:val="003D553A"/>
    <w:rsid w:val="003E3458"/>
    <w:rsid w:val="00403FA0"/>
    <w:rsid w:val="004054B7"/>
    <w:rsid w:val="00415076"/>
    <w:rsid w:val="00435969"/>
    <w:rsid w:val="0043599A"/>
    <w:rsid w:val="00440047"/>
    <w:rsid w:val="0045148B"/>
    <w:rsid w:val="00453E32"/>
    <w:rsid w:val="00454100"/>
    <w:rsid w:val="00454F84"/>
    <w:rsid w:val="004772E5"/>
    <w:rsid w:val="00480672"/>
    <w:rsid w:val="00483BA5"/>
    <w:rsid w:val="004869A7"/>
    <w:rsid w:val="004A792A"/>
    <w:rsid w:val="004A7AE4"/>
    <w:rsid w:val="004A7CA4"/>
    <w:rsid w:val="004B1948"/>
    <w:rsid w:val="004B51DB"/>
    <w:rsid w:val="004C3308"/>
    <w:rsid w:val="004C7E86"/>
    <w:rsid w:val="004D026A"/>
    <w:rsid w:val="004D3BBB"/>
    <w:rsid w:val="004D3E3E"/>
    <w:rsid w:val="004D506F"/>
    <w:rsid w:val="004E1C9A"/>
    <w:rsid w:val="004E29DC"/>
    <w:rsid w:val="004E6C3F"/>
    <w:rsid w:val="004F02A7"/>
    <w:rsid w:val="004F0FD1"/>
    <w:rsid w:val="004F70BF"/>
    <w:rsid w:val="00513DF1"/>
    <w:rsid w:val="005141B1"/>
    <w:rsid w:val="005158CB"/>
    <w:rsid w:val="0051694E"/>
    <w:rsid w:val="005270A0"/>
    <w:rsid w:val="00535375"/>
    <w:rsid w:val="00542F27"/>
    <w:rsid w:val="005431FA"/>
    <w:rsid w:val="005456BD"/>
    <w:rsid w:val="00563C9C"/>
    <w:rsid w:val="005729E1"/>
    <w:rsid w:val="00581966"/>
    <w:rsid w:val="005845E2"/>
    <w:rsid w:val="0058770E"/>
    <w:rsid w:val="0059549C"/>
    <w:rsid w:val="0059758E"/>
    <w:rsid w:val="005B0658"/>
    <w:rsid w:val="005B114E"/>
    <w:rsid w:val="005B54A0"/>
    <w:rsid w:val="005B7CF9"/>
    <w:rsid w:val="005D1D24"/>
    <w:rsid w:val="005D3A96"/>
    <w:rsid w:val="005D62B2"/>
    <w:rsid w:val="005E3472"/>
    <w:rsid w:val="005F6BDB"/>
    <w:rsid w:val="00600C82"/>
    <w:rsid w:val="006047DF"/>
    <w:rsid w:val="0061045F"/>
    <w:rsid w:val="0062260F"/>
    <w:rsid w:val="006258F2"/>
    <w:rsid w:val="00626780"/>
    <w:rsid w:val="00635C5C"/>
    <w:rsid w:val="0064371F"/>
    <w:rsid w:val="006451F5"/>
    <w:rsid w:val="0065285A"/>
    <w:rsid w:val="00653542"/>
    <w:rsid w:val="006551AE"/>
    <w:rsid w:val="00661DE0"/>
    <w:rsid w:val="00673366"/>
    <w:rsid w:val="006745C8"/>
    <w:rsid w:val="0067478D"/>
    <w:rsid w:val="00677C6E"/>
    <w:rsid w:val="00692809"/>
    <w:rsid w:val="0069525D"/>
    <w:rsid w:val="006A768B"/>
    <w:rsid w:val="006B5BF9"/>
    <w:rsid w:val="006D1D18"/>
    <w:rsid w:val="006D723E"/>
    <w:rsid w:val="006E3A7E"/>
    <w:rsid w:val="006E732C"/>
    <w:rsid w:val="006F744B"/>
    <w:rsid w:val="00707338"/>
    <w:rsid w:val="0071141F"/>
    <w:rsid w:val="0071331C"/>
    <w:rsid w:val="007145E9"/>
    <w:rsid w:val="00740646"/>
    <w:rsid w:val="0074595E"/>
    <w:rsid w:val="007462C8"/>
    <w:rsid w:val="007703D6"/>
    <w:rsid w:val="00771009"/>
    <w:rsid w:val="0077101A"/>
    <w:rsid w:val="00784974"/>
    <w:rsid w:val="007A0633"/>
    <w:rsid w:val="007C6EFE"/>
    <w:rsid w:val="007D5C85"/>
    <w:rsid w:val="007E2D12"/>
    <w:rsid w:val="00816065"/>
    <w:rsid w:val="00834E12"/>
    <w:rsid w:val="00842420"/>
    <w:rsid w:val="0084711A"/>
    <w:rsid w:val="008477F0"/>
    <w:rsid w:val="00860BAC"/>
    <w:rsid w:val="00874A26"/>
    <w:rsid w:val="00877EF7"/>
    <w:rsid w:val="00881776"/>
    <w:rsid w:val="00885E1A"/>
    <w:rsid w:val="00892E90"/>
    <w:rsid w:val="00893DA3"/>
    <w:rsid w:val="00894331"/>
    <w:rsid w:val="00897505"/>
    <w:rsid w:val="008A419A"/>
    <w:rsid w:val="008B2B79"/>
    <w:rsid w:val="008C2875"/>
    <w:rsid w:val="008E1B12"/>
    <w:rsid w:val="008E1F37"/>
    <w:rsid w:val="0091142F"/>
    <w:rsid w:val="0091211D"/>
    <w:rsid w:val="00912698"/>
    <w:rsid w:val="009134B2"/>
    <w:rsid w:val="00931EB9"/>
    <w:rsid w:val="00933BDF"/>
    <w:rsid w:val="00936F57"/>
    <w:rsid w:val="00941394"/>
    <w:rsid w:val="00950653"/>
    <w:rsid w:val="00962800"/>
    <w:rsid w:val="00967D58"/>
    <w:rsid w:val="0097321C"/>
    <w:rsid w:val="009A2EF0"/>
    <w:rsid w:val="009A408F"/>
    <w:rsid w:val="009B4CDB"/>
    <w:rsid w:val="009D5368"/>
    <w:rsid w:val="009F5E70"/>
    <w:rsid w:val="00A05DDA"/>
    <w:rsid w:val="00A11F5B"/>
    <w:rsid w:val="00A33839"/>
    <w:rsid w:val="00A408BE"/>
    <w:rsid w:val="00A432A3"/>
    <w:rsid w:val="00A43F40"/>
    <w:rsid w:val="00A44EF2"/>
    <w:rsid w:val="00A57492"/>
    <w:rsid w:val="00A61BAE"/>
    <w:rsid w:val="00A651B5"/>
    <w:rsid w:val="00A67ADB"/>
    <w:rsid w:val="00A85C6C"/>
    <w:rsid w:val="00A860A9"/>
    <w:rsid w:val="00A92607"/>
    <w:rsid w:val="00A9391F"/>
    <w:rsid w:val="00A94FE3"/>
    <w:rsid w:val="00A96B12"/>
    <w:rsid w:val="00AA5C60"/>
    <w:rsid w:val="00AA6D0A"/>
    <w:rsid w:val="00AB6F21"/>
    <w:rsid w:val="00AC4A83"/>
    <w:rsid w:val="00AC57CD"/>
    <w:rsid w:val="00AD09AE"/>
    <w:rsid w:val="00AD1A24"/>
    <w:rsid w:val="00AD2B97"/>
    <w:rsid w:val="00AD6792"/>
    <w:rsid w:val="00AF0343"/>
    <w:rsid w:val="00B070BE"/>
    <w:rsid w:val="00B1239E"/>
    <w:rsid w:val="00B134CD"/>
    <w:rsid w:val="00B23C45"/>
    <w:rsid w:val="00B24601"/>
    <w:rsid w:val="00B261F3"/>
    <w:rsid w:val="00B26236"/>
    <w:rsid w:val="00B317EA"/>
    <w:rsid w:val="00B36B73"/>
    <w:rsid w:val="00B40716"/>
    <w:rsid w:val="00B530F2"/>
    <w:rsid w:val="00B659DF"/>
    <w:rsid w:val="00B72C22"/>
    <w:rsid w:val="00B73629"/>
    <w:rsid w:val="00B807DE"/>
    <w:rsid w:val="00B86B27"/>
    <w:rsid w:val="00B9163D"/>
    <w:rsid w:val="00BA7860"/>
    <w:rsid w:val="00BC269C"/>
    <w:rsid w:val="00BC2C66"/>
    <w:rsid w:val="00BD4C3F"/>
    <w:rsid w:val="00BD7F95"/>
    <w:rsid w:val="00BE1031"/>
    <w:rsid w:val="00BE62D1"/>
    <w:rsid w:val="00BF0505"/>
    <w:rsid w:val="00BF16E0"/>
    <w:rsid w:val="00BF289F"/>
    <w:rsid w:val="00C01758"/>
    <w:rsid w:val="00C01DE9"/>
    <w:rsid w:val="00C02464"/>
    <w:rsid w:val="00C12972"/>
    <w:rsid w:val="00C32A48"/>
    <w:rsid w:val="00C365ED"/>
    <w:rsid w:val="00C535E1"/>
    <w:rsid w:val="00C70332"/>
    <w:rsid w:val="00C70E35"/>
    <w:rsid w:val="00C74794"/>
    <w:rsid w:val="00C76899"/>
    <w:rsid w:val="00C77D39"/>
    <w:rsid w:val="00C80018"/>
    <w:rsid w:val="00C81687"/>
    <w:rsid w:val="00C819EE"/>
    <w:rsid w:val="00C93EDC"/>
    <w:rsid w:val="00CA5E55"/>
    <w:rsid w:val="00CB1BBE"/>
    <w:rsid w:val="00CB3320"/>
    <w:rsid w:val="00CB76E7"/>
    <w:rsid w:val="00CC6097"/>
    <w:rsid w:val="00CD079A"/>
    <w:rsid w:val="00CD3C06"/>
    <w:rsid w:val="00CD4415"/>
    <w:rsid w:val="00CF09BF"/>
    <w:rsid w:val="00D22653"/>
    <w:rsid w:val="00D30ECF"/>
    <w:rsid w:val="00D35EFB"/>
    <w:rsid w:val="00D36083"/>
    <w:rsid w:val="00D360E3"/>
    <w:rsid w:val="00D371A8"/>
    <w:rsid w:val="00D52A4A"/>
    <w:rsid w:val="00D61B23"/>
    <w:rsid w:val="00D6799B"/>
    <w:rsid w:val="00D77CAF"/>
    <w:rsid w:val="00D87A9A"/>
    <w:rsid w:val="00DA243B"/>
    <w:rsid w:val="00DA672B"/>
    <w:rsid w:val="00DB2C74"/>
    <w:rsid w:val="00DC1409"/>
    <w:rsid w:val="00DC4DF2"/>
    <w:rsid w:val="00DC5675"/>
    <w:rsid w:val="00DC6C76"/>
    <w:rsid w:val="00DD1C13"/>
    <w:rsid w:val="00E07CF6"/>
    <w:rsid w:val="00E20551"/>
    <w:rsid w:val="00E235D3"/>
    <w:rsid w:val="00E33639"/>
    <w:rsid w:val="00E461C8"/>
    <w:rsid w:val="00E505B0"/>
    <w:rsid w:val="00E55E89"/>
    <w:rsid w:val="00E641E5"/>
    <w:rsid w:val="00E66723"/>
    <w:rsid w:val="00E71565"/>
    <w:rsid w:val="00E877B6"/>
    <w:rsid w:val="00E94CC4"/>
    <w:rsid w:val="00EA1584"/>
    <w:rsid w:val="00EA7C40"/>
    <w:rsid w:val="00EB2E58"/>
    <w:rsid w:val="00EB333B"/>
    <w:rsid w:val="00EC4AC8"/>
    <w:rsid w:val="00EE7C58"/>
    <w:rsid w:val="00EF24F5"/>
    <w:rsid w:val="00EF4170"/>
    <w:rsid w:val="00EF41C9"/>
    <w:rsid w:val="00F02BA3"/>
    <w:rsid w:val="00F14133"/>
    <w:rsid w:val="00F14DBF"/>
    <w:rsid w:val="00F3196C"/>
    <w:rsid w:val="00F32C4C"/>
    <w:rsid w:val="00F4066C"/>
    <w:rsid w:val="00F55BF1"/>
    <w:rsid w:val="00F57DCB"/>
    <w:rsid w:val="00F62EE0"/>
    <w:rsid w:val="00F63A54"/>
    <w:rsid w:val="00F72961"/>
    <w:rsid w:val="00F81158"/>
    <w:rsid w:val="00F863E4"/>
    <w:rsid w:val="00F869C4"/>
    <w:rsid w:val="00F87E4B"/>
    <w:rsid w:val="00F93B76"/>
    <w:rsid w:val="00F94AD7"/>
    <w:rsid w:val="00FA5A63"/>
    <w:rsid w:val="00FA62A5"/>
    <w:rsid w:val="00FB3312"/>
    <w:rsid w:val="00FC7995"/>
    <w:rsid w:val="00FD32F3"/>
    <w:rsid w:val="00FE28C2"/>
    <w:rsid w:val="00FE6BDA"/>
    <w:rsid w:val="00FF3E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v:textbox inset="5.85pt,.7pt,5.85pt,.7pt"/>
    </o:shapedefaults>
    <o:shapelayout v:ext="edit">
      <o:idmap v:ext="edit" data="1"/>
    </o:shapelayout>
  </w:shapeDefaults>
  <w:decimalSymbol w:val="."/>
  <w:listSeparator w:val=","/>
  <w14:docId w14:val="1FD8B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7CA4"/>
    <w:pPr>
      <w:spacing w:after="0" w:line="240" w:lineRule="auto"/>
    </w:pPr>
    <w:rPr>
      <w:rFonts w:ascii="Arial" w:hAnsi="Arial"/>
      <w:color w:val="404040"/>
      <w:sz w:val="20"/>
    </w:rPr>
  </w:style>
  <w:style w:type="paragraph" w:styleId="Heading1">
    <w:name w:val="heading 1"/>
    <w:basedOn w:val="Normal"/>
    <w:next w:val="Normal"/>
    <w:link w:val="Heading1Char"/>
    <w:uiPriority w:val="9"/>
    <w:qFormat/>
    <w:rsid w:val="0091269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600C82"/>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A62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A62A5"/>
    <w:rPr>
      <w:rFonts w:ascii="Tahoma" w:hAnsi="Tahoma" w:cs="Tahoma"/>
      <w:sz w:val="16"/>
      <w:szCs w:val="16"/>
    </w:rPr>
  </w:style>
  <w:style w:type="character" w:customStyle="1" w:styleId="BalloonTextChar">
    <w:name w:val="Balloon Text Char"/>
    <w:basedOn w:val="DefaultParagraphFont"/>
    <w:link w:val="BalloonText"/>
    <w:uiPriority w:val="99"/>
    <w:semiHidden/>
    <w:rsid w:val="00FA62A5"/>
    <w:rPr>
      <w:rFonts w:ascii="Tahoma" w:hAnsi="Tahoma" w:cs="Tahoma"/>
      <w:sz w:val="16"/>
      <w:szCs w:val="16"/>
    </w:rPr>
  </w:style>
  <w:style w:type="paragraph" w:customStyle="1" w:styleId="ochaheadertitle">
    <w:name w:val="ocha_header_title"/>
    <w:qFormat/>
    <w:rsid w:val="00EF4170"/>
    <w:pPr>
      <w:spacing w:after="0" w:line="240" w:lineRule="auto"/>
    </w:pPr>
    <w:rPr>
      <w:rFonts w:ascii="Arial" w:eastAsia="Times New Roman" w:hAnsi="Arial" w:cs="Arial"/>
      <w:b/>
      <w:color w:val="FFFFFF"/>
      <w:sz w:val="28"/>
      <w:szCs w:val="28"/>
    </w:rPr>
  </w:style>
  <w:style w:type="paragraph" w:customStyle="1" w:styleId="ochaheadersubtitle">
    <w:name w:val="ocha_header_subtitle"/>
    <w:qFormat/>
    <w:rsid w:val="00FA62A5"/>
    <w:pPr>
      <w:spacing w:after="0"/>
    </w:pPr>
    <w:rPr>
      <w:rFonts w:ascii="Arial" w:hAnsi="Arial"/>
      <w:color w:val="FFFFFF" w:themeColor="background1"/>
      <w:sz w:val="26"/>
      <w:szCs w:val="26"/>
    </w:rPr>
  </w:style>
  <w:style w:type="paragraph" w:customStyle="1" w:styleId="ochacontentheading">
    <w:name w:val="ocha_content_heading"/>
    <w:qFormat/>
    <w:rsid w:val="00AD6792"/>
    <w:pPr>
      <w:widowControl w:val="0"/>
      <w:pBdr>
        <w:bottom w:val="single" w:sz="2" w:space="1" w:color="026CB6"/>
      </w:pBdr>
      <w:spacing w:before="240" w:after="160" w:line="440" w:lineRule="exact"/>
    </w:pPr>
    <w:rPr>
      <w:rFonts w:ascii="Arial" w:eastAsia="Calibri" w:hAnsi="Arial" w:cs="Arial"/>
      <w:color w:val="026CB6"/>
      <w:spacing w:val="8"/>
      <w:w w:val="90"/>
      <w:sz w:val="40"/>
      <w:szCs w:val="40"/>
      <w:lang w:val="en"/>
    </w:rPr>
  </w:style>
  <w:style w:type="paragraph" w:customStyle="1" w:styleId="ochacontenttext">
    <w:name w:val="ocha_content_text"/>
    <w:qFormat/>
    <w:rsid w:val="00B72C22"/>
    <w:pPr>
      <w:spacing w:after="100" w:line="240" w:lineRule="auto"/>
    </w:pPr>
    <w:rPr>
      <w:rFonts w:ascii="Arial" w:eastAsia="PMingLiU" w:hAnsi="Arial" w:cs="Times New Roman"/>
      <w:color w:val="404040"/>
      <w:sz w:val="20"/>
      <w:szCs w:val="24"/>
      <w:lang w:eastAsia="zh-TW"/>
    </w:rPr>
  </w:style>
  <w:style w:type="paragraph" w:customStyle="1" w:styleId="ochacontentheading2">
    <w:name w:val="ocha_content_heading2"/>
    <w:qFormat/>
    <w:rsid w:val="00F62EE0"/>
    <w:pPr>
      <w:pBdr>
        <w:bottom w:val="single" w:sz="2" w:space="1" w:color="D9D9D9" w:themeColor="background1" w:themeShade="D9"/>
      </w:pBdr>
      <w:spacing w:before="160" w:after="100" w:line="240" w:lineRule="auto"/>
    </w:pPr>
    <w:rPr>
      <w:rFonts w:ascii="Arial" w:eastAsia="PMingLiU" w:hAnsi="Arial" w:cs="Times New Roman"/>
      <w:b/>
      <w:color w:val="026CB6"/>
      <w:szCs w:val="20"/>
      <w:lang w:eastAsia="zh-TW"/>
    </w:rPr>
  </w:style>
  <w:style w:type="character" w:styleId="Hyperlink">
    <w:name w:val="Hyperlink"/>
    <w:basedOn w:val="DefaultParagraphFont"/>
    <w:unhideWhenUsed/>
    <w:rsid w:val="00192C7D"/>
    <w:rPr>
      <w:color w:val="026CB6"/>
      <w:u w:val="none"/>
    </w:rPr>
  </w:style>
  <w:style w:type="paragraph" w:customStyle="1" w:styleId="ochabulletpoint">
    <w:name w:val="ocha_bullet_point"/>
    <w:qFormat/>
    <w:rsid w:val="00897505"/>
    <w:pPr>
      <w:numPr>
        <w:numId w:val="2"/>
      </w:numPr>
      <w:spacing w:before="100" w:after="100" w:line="240" w:lineRule="auto"/>
      <w:ind w:left="284" w:hanging="284"/>
      <w:contextualSpacing/>
    </w:pPr>
    <w:rPr>
      <w:rFonts w:ascii="Arial" w:eastAsia="PMingLiU" w:hAnsi="Arial" w:cs="Times New Roman"/>
      <w:color w:val="404040"/>
      <w:sz w:val="20"/>
      <w:szCs w:val="24"/>
      <w:lang w:eastAsia="zh-TW"/>
    </w:rPr>
  </w:style>
  <w:style w:type="character" w:customStyle="1" w:styleId="ochared">
    <w:name w:val="ocha_red"/>
    <w:uiPriority w:val="1"/>
    <w:qFormat/>
    <w:rsid w:val="00F02BA3"/>
    <w:rPr>
      <w:color w:val="BA1222"/>
    </w:rPr>
  </w:style>
  <w:style w:type="paragraph" w:styleId="Header">
    <w:name w:val="header"/>
    <w:basedOn w:val="Normal"/>
    <w:link w:val="HeaderChar"/>
    <w:uiPriority w:val="99"/>
    <w:unhideWhenUsed/>
    <w:rsid w:val="00244D64"/>
    <w:pPr>
      <w:tabs>
        <w:tab w:val="center" w:pos="4680"/>
        <w:tab w:val="right" w:pos="9360"/>
      </w:tabs>
    </w:pPr>
  </w:style>
  <w:style w:type="character" w:customStyle="1" w:styleId="HeaderChar">
    <w:name w:val="Header Char"/>
    <w:basedOn w:val="DefaultParagraphFont"/>
    <w:link w:val="Header"/>
    <w:uiPriority w:val="99"/>
    <w:rsid w:val="00244D64"/>
    <w:rPr>
      <w:rFonts w:ascii="Arial" w:hAnsi="Arial"/>
      <w:sz w:val="20"/>
    </w:rPr>
  </w:style>
  <w:style w:type="paragraph" w:styleId="Footer">
    <w:name w:val="footer"/>
    <w:basedOn w:val="Normal"/>
    <w:link w:val="FooterChar"/>
    <w:uiPriority w:val="99"/>
    <w:unhideWhenUsed/>
    <w:rsid w:val="00244D64"/>
    <w:pPr>
      <w:tabs>
        <w:tab w:val="center" w:pos="4680"/>
        <w:tab w:val="right" w:pos="9360"/>
      </w:tabs>
    </w:pPr>
  </w:style>
  <w:style w:type="character" w:customStyle="1" w:styleId="FooterChar">
    <w:name w:val="Footer Char"/>
    <w:basedOn w:val="DefaultParagraphFont"/>
    <w:link w:val="Footer"/>
    <w:uiPriority w:val="99"/>
    <w:rsid w:val="00244D64"/>
    <w:rPr>
      <w:rFonts w:ascii="Arial" w:hAnsi="Arial"/>
      <w:sz w:val="20"/>
    </w:rPr>
  </w:style>
  <w:style w:type="paragraph" w:customStyle="1" w:styleId="ochacaption">
    <w:name w:val="ocha_caption"/>
    <w:qFormat/>
    <w:rsid w:val="00CA5E55"/>
    <w:pPr>
      <w:spacing w:after="0" w:line="240" w:lineRule="auto"/>
    </w:pPr>
    <w:rPr>
      <w:rFonts w:ascii="Arial" w:hAnsi="Arial"/>
      <w:color w:val="808080" w:themeColor="background1" w:themeShade="80"/>
      <w:sz w:val="14"/>
      <w:szCs w:val="14"/>
    </w:rPr>
  </w:style>
  <w:style w:type="paragraph" w:customStyle="1" w:styleId="ochaheaderfooter">
    <w:name w:val="ocha_header_footer"/>
    <w:rsid w:val="00435969"/>
    <w:pPr>
      <w:spacing w:after="0" w:line="240" w:lineRule="auto"/>
    </w:pPr>
    <w:rPr>
      <w:rFonts w:ascii="Arial" w:eastAsia="PMingLiU" w:hAnsi="Arial" w:cs="Arial"/>
      <w:color w:val="999999"/>
      <w:sz w:val="16"/>
      <w:szCs w:val="16"/>
      <w:lang w:eastAsia="zh-TW"/>
    </w:rPr>
  </w:style>
  <w:style w:type="paragraph" w:customStyle="1" w:styleId="ochatabletext">
    <w:name w:val="ocha_table_text"/>
    <w:qFormat/>
    <w:rsid w:val="00B134CD"/>
    <w:pPr>
      <w:spacing w:after="0"/>
    </w:pPr>
    <w:rPr>
      <w:rFonts w:ascii="Arial" w:hAnsi="Arial"/>
      <w:color w:val="404040"/>
      <w:sz w:val="16"/>
    </w:rPr>
  </w:style>
  <w:style w:type="table" w:styleId="MediumList2-Accent3">
    <w:name w:val="Medium List 2 Accent 3"/>
    <w:basedOn w:val="TableNormal"/>
    <w:uiPriority w:val="66"/>
    <w:rsid w:val="00B72C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LightShading">
    <w:name w:val="Light Shading"/>
    <w:basedOn w:val="TableNormal"/>
    <w:uiPriority w:val="60"/>
    <w:rsid w:val="008B2B79"/>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MediumGrid3-Accent2">
    <w:name w:val="Medium Grid 3 Accent 2"/>
    <w:basedOn w:val="TableNormal"/>
    <w:uiPriority w:val="69"/>
    <w:rsid w:val="00440047"/>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customStyle="1" w:styleId="ochatablesimple">
    <w:name w:val="ocha_table_simple"/>
    <w:basedOn w:val="TableNormal"/>
    <w:uiPriority w:val="99"/>
    <w:rsid w:val="00B1239E"/>
    <w:pPr>
      <w:spacing w:after="0" w:line="240" w:lineRule="auto"/>
    </w:pPr>
    <w:rPr>
      <w:rFonts w:ascii="Arial" w:hAnsi="Arial"/>
      <w:color w:val="404040"/>
      <w:sz w:val="16"/>
    </w:rPr>
    <w:tblPr>
      <w:tblStyleRowBandSize w:val="1"/>
      <w:tblStyleColBandSize w:val="1"/>
      <w:tblBorders>
        <w:bottom w:val="single" w:sz="2" w:space="0" w:color="A6A6A6"/>
      </w:tblBorders>
      <w:tblCellMar>
        <w:top w:w="45" w:type="dxa"/>
        <w:bottom w:w="45" w:type="dxa"/>
      </w:tblCellMar>
    </w:tblPr>
    <w:tblStylePr w:type="firstRow">
      <w:rPr>
        <w:rFonts w:ascii="Arial" w:hAnsi="Arial"/>
        <w:b w:val="0"/>
        <w:i w:val="0"/>
        <w:sz w:val="16"/>
      </w:rPr>
      <w:tblPr/>
      <w:tcPr>
        <w:tcBorders>
          <w:bottom w:val="single" w:sz="4" w:space="0" w:color="404040" w:themeColor="text1" w:themeTint="BF"/>
        </w:tcBorders>
      </w:tcPr>
    </w:tblStylePr>
    <w:tblStylePr w:type="lastRow">
      <w:pPr>
        <w:jc w:val="left"/>
      </w:pPr>
      <w:rPr>
        <w:rFonts w:ascii="Arial" w:hAnsi="Arial"/>
        <w:b w:val="0"/>
        <w:i w:val="0"/>
        <w:sz w:val="16"/>
      </w:rPr>
      <w:tblPr/>
      <w:tcPr>
        <w:tcBorders>
          <w:top w:val="single" w:sz="2" w:space="0" w:color="A6A6A6"/>
          <w:left w:val="nil"/>
          <w:bottom w:val="nil"/>
          <w:right w:val="nil"/>
          <w:insideH w:val="nil"/>
          <w:insideV w:val="nil"/>
          <w:tl2br w:val="nil"/>
          <w:tr2bl w:val="nil"/>
        </w:tcBorders>
      </w:tcPr>
    </w:tblStylePr>
  </w:style>
  <w:style w:type="table" w:styleId="LightShading-Accent4">
    <w:name w:val="Light Shading Accent 4"/>
    <w:basedOn w:val="TableNormal"/>
    <w:uiPriority w:val="60"/>
    <w:rsid w:val="0097321C"/>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2">
    <w:name w:val="Light Shading Accent 2"/>
    <w:basedOn w:val="TableNormal"/>
    <w:uiPriority w:val="60"/>
    <w:rsid w:val="0097321C"/>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1">
    <w:name w:val="Light Shading Accent 1"/>
    <w:basedOn w:val="TableNormal"/>
    <w:uiPriority w:val="60"/>
    <w:rsid w:val="003D2E3A"/>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Heading1Char">
    <w:name w:val="Heading 1 Char"/>
    <w:basedOn w:val="DefaultParagraphFont"/>
    <w:link w:val="Heading1"/>
    <w:uiPriority w:val="9"/>
    <w:rsid w:val="00912698"/>
    <w:rPr>
      <w:rFonts w:asciiTheme="majorHAnsi" w:eastAsiaTheme="majorEastAsia" w:hAnsiTheme="majorHAnsi" w:cstheme="majorBidi"/>
      <w:b/>
      <w:bCs/>
      <w:color w:val="365F91" w:themeColor="accent1" w:themeShade="BF"/>
      <w:sz w:val="28"/>
      <w:szCs w:val="28"/>
    </w:rPr>
  </w:style>
  <w:style w:type="table" w:customStyle="1" w:styleId="Style1">
    <w:name w:val="Style1"/>
    <w:basedOn w:val="TableNormal"/>
    <w:uiPriority w:val="99"/>
    <w:rsid w:val="002A3F07"/>
    <w:pPr>
      <w:spacing w:after="0" w:line="240" w:lineRule="auto"/>
    </w:pPr>
    <w:rPr>
      <w:rFonts w:ascii="Arial" w:hAnsi="Arial"/>
      <w:color w:val="404040"/>
      <w:sz w:val="16"/>
    </w:rPr>
    <w:tblPr>
      <w:tblStyleRowBandSize w:val="1"/>
      <w:tblBorders>
        <w:top w:val="single" w:sz="4" w:space="0" w:color="003469"/>
        <w:left w:val="single" w:sz="4" w:space="0" w:color="FFFFFF" w:themeColor="background1"/>
        <w:bottom w:val="single" w:sz="4" w:space="0" w:color="003469"/>
        <w:right w:val="single" w:sz="4" w:space="0" w:color="FFFFFF" w:themeColor="background1"/>
        <w:insideH w:val="single" w:sz="4" w:space="0" w:color="FFFFFF" w:themeColor="background1"/>
        <w:insideV w:val="single" w:sz="4" w:space="0" w:color="FFFFFF" w:themeColor="background1"/>
      </w:tblBorders>
      <w:tblCellMar>
        <w:top w:w="45" w:type="dxa"/>
        <w:bottom w:w="45" w:type="dxa"/>
      </w:tblCellMar>
    </w:tblPr>
    <w:tblStylePr w:type="firstRow">
      <w:rPr>
        <w:b/>
      </w:rPr>
      <w:tblPr/>
      <w:tcPr>
        <w:tcBorders>
          <w:top w:val="single" w:sz="4" w:space="0" w:color="003469"/>
          <w:left w:val="single" w:sz="4" w:space="0" w:color="FFFFFF" w:themeColor="background1"/>
          <w:bottom w:val="single" w:sz="4" w:space="0" w:color="003469"/>
          <w:right w:val="single" w:sz="4" w:space="0" w:color="FFFFFF" w:themeColor="background1"/>
          <w:insideH w:val="nil"/>
          <w:insideV w:val="single" w:sz="4" w:space="0" w:color="FFFFFF" w:themeColor="background1"/>
          <w:tl2br w:val="nil"/>
          <w:tr2bl w:val="nil"/>
        </w:tcBorders>
        <w:shd w:val="clear" w:color="auto" w:fill="C7D6EE"/>
      </w:tcPr>
    </w:tblStylePr>
    <w:tblStylePr w:type="band1Horz">
      <w:tblPr/>
      <w:tcPr>
        <w:shd w:val="clear" w:color="auto" w:fill="EEF3FA"/>
      </w:tcPr>
    </w:tblStylePr>
    <w:tblStylePr w:type="band2Horz">
      <w:tblPr/>
      <w:tcPr>
        <w:shd w:val="clear" w:color="auto" w:fill="E1E8F6"/>
      </w:tcPr>
    </w:tblStylePr>
  </w:style>
  <w:style w:type="table" w:customStyle="1" w:styleId="ochabluelongtext">
    <w:name w:val="ocha_blue_longtext"/>
    <w:basedOn w:val="TableNormal"/>
    <w:uiPriority w:val="99"/>
    <w:rsid w:val="002A3F07"/>
    <w:pPr>
      <w:spacing w:after="0" w:line="240" w:lineRule="auto"/>
    </w:pPr>
    <w:rPr>
      <w:rFonts w:ascii="Arial" w:hAnsi="Arial"/>
      <w:color w:val="404040"/>
      <w:sz w:val="16"/>
    </w:rPr>
    <w:tblPr>
      <w:tblStyleRowBandSize w:val="1"/>
      <w:tblBorders>
        <w:top w:val="single" w:sz="4" w:space="0" w:color="003469"/>
        <w:left w:val="single" w:sz="4" w:space="0" w:color="FFFFFF" w:themeColor="background1"/>
        <w:bottom w:val="single" w:sz="4" w:space="0" w:color="003469"/>
        <w:right w:val="single" w:sz="4" w:space="0" w:color="FFFFFF" w:themeColor="background1"/>
        <w:insideH w:val="single" w:sz="4" w:space="0" w:color="FFFFFF" w:themeColor="background1"/>
        <w:insideV w:val="single" w:sz="4" w:space="0" w:color="FFFFFF" w:themeColor="background1"/>
      </w:tblBorders>
      <w:tblCellMar>
        <w:top w:w="45" w:type="dxa"/>
        <w:bottom w:w="45" w:type="dxa"/>
      </w:tblCellMar>
    </w:tblPr>
    <w:tblStylePr w:type="firstRow">
      <w:rPr>
        <w:b/>
      </w:rPr>
      <w:tblPr/>
      <w:tcPr>
        <w:tcBorders>
          <w:top w:val="single" w:sz="4" w:space="0" w:color="003469"/>
          <w:left w:val="single" w:sz="4" w:space="0" w:color="FFFFFF" w:themeColor="background1"/>
          <w:bottom w:val="single" w:sz="4" w:space="0" w:color="003469"/>
          <w:right w:val="single" w:sz="4" w:space="0" w:color="FFFFFF" w:themeColor="background1"/>
          <w:insideH w:val="nil"/>
          <w:insideV w:val="single" w:sz="4" w:space="0" w:color="FFFFFF" w:themeColor="background1"/>
          <w:tl2br w:val="nil"/>
          <w:tr2bl w:val="nil"/>
        </w:tcBorders>
        <w:shd w:val="clear" w:color="auto" w:fill="C7D6EE"/>
      </w:tcPr>
    </w:tblStylePr>
    <w:tblStylePr w:type="band1Horz">
      <w:tblPr/>
      <w:tcPr>
        <w:shd w:val="clear" w:color="auto" w:fill="EEF3FA"/>
      </w:tcPr>
    </w:tblStylePr>
    <w:tblStylePr w:type="band2Horz">
      <w:tblPr/>
      <w:tcPr>
        <w:shd w:val="clear" w:color="auto" w:fill="FFFFFF" w:themeFill="background1"/>
      </w:tcPr>
    </w:tblStylePr>
  </w:style>
  <w:style w:type="table" w:customStyle="1" w:styleId="ochatablesimplelongtext">
    <w:name w:val="ocha_table_simple_longtext"/>
    <w:basedOn w:val="TableNormal"/>
    <w:uiPriority w:val="99"/>
    <w:rsid w:val="00AD09AE"/>
    <w:pPr>
      <w:spacing w:after="0" w:line="240" w:lineRule="auto"/>
    </w:pPr>
    <w:rPr>
      <w:rFonts w:ascii="Arial" w:hAnsi="Arial"/>
      <w:sz w:val="16"/>
    </w:rPr>
    <w:tblPr>
      <w:tblStyleRowBandSize w:val="1"/>
      <w:tblBorders>
        <w:bottom w:val="single" w:sz="2" w:space="0" w:color="A6A6A6"/>
        <w:insideH w:val="single" w:sz="2" w:space="0" w:color="F2F2F2" w:themeColor="background1" w:themeShade="F2"/>
      </w:tblBorders>
      <w:tblCellMar>
        <w:top w:w="45" w:type="dxa"/>
        <w:bottom w:w="45" w:type="dxa"/>
      </w:tblCellMar>
    </w:tblPr>
    <w:tblStylePr w:type="firstRow">
      <w:tblPr/>
      <w:tcPr>
        <w:tcBorders>
          <w:bottom w:val="single" w:sz="4" w:space="0" w:color="404040"/>
        </w:tcBorders>
      </w:tcPr>
    </w:tblStylePr>
    <w:tblStylePr w:type="lastRow">
      <w:tblPr/>
      <w:tcPr>
        <w:tcBorders>
          <w:top w:val="nil"/>
          <w:left w:val="nil"/>
          <w:bottom w:val="nil"/>
          <w:right w:val="nil"/>
          <w:insideH w:val="nil"/>
          <w:insideV w:val="nil"/>
          <w:tl2br w:val="nil"/>
          <w:tr2bl w:val="nil"/>
        </w:tcBorders>
      </w:tcPr>
    </w:tblStylePr>
    <w:tblStylePr w:type="band1Horz">
      <w:tblPr/>
      <w:tcPr>
        <w:tcBorders>
          <w:top w:val="nil"/>
          <w:left w:val="nil"/>
          <w:bottom w:val="nil"/>
          <w:right w:val="nil"/>
          <w:insideH w:val="nil"/>
          <w:insideV w:val="nil"/>
          <w:tl2br w:val="nil"/>
          <w:tr2bl w:val="nil"/>
        </w:tcBorders>
      </w:tcPr>
    </w:tblStylePr>
    <w:tblStylePr w:type="band2Horz">
      <w:tblPr/>
      <w:tcPr>
        <w:tcBorders>
          <w:top w:val="nil"/>
          <w:left w:val="nil"/>
          <w:bottom w:val="nil"/>
          <w:right w:val="nil"/>
          <w:insideH w:val="nil"/>
          <w:insideV w:val="nil"/>
          <w:tl2br w:val="nil"/>
          <w:tr2bl w:val="nil"/>
        </w:tcBorders>
      </w:tcPr>
    </w:tblStylePr>
  </w:style>
  <w:style w:type="table" w:styleId="TableGrid2">
    <w:name w:val="Table Grid 2"/>
    <w:basedOn w:val="TableNormal"/>
    <w:uiPriority w:val="99"/>
    <w:semiHidden/>
    <w:unhideWhenUsed/>
    <w:rsid w:val="00F869C4"/>
    <w:pPr>
      <w:spacing w:line="240" w:lineRule="auto"/>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ochablue">
    <w:name w:val="ocha_blue"/>
    <w:uiPriority w:val="1"/>
    <w:qFormat/>
    <w:rsid w:val="00C70332"/>
    <w:rPr>
      <w:color w:val="026CB6"/>
    </w:rPr>
  </w:style>
  <w:style w:type="table" w:customStyle="1" w:styleId="ochabluebox">
    <w:name w:val="ocha_blue_box"/>
    <w:basedOn w:val="TableNormal"/>
    <w:uiPriority w:val="99"/>
    <w:rsid w:val="00AD1A24"/>
    <w:pPr>
      <w:spacing w:after="0" w:line="240" w:lineRule="auto"/>
    </w:pPr>
    <w:rPr>
      <w:rFonts w:ascii="Arial" w:hAnsi="Arial"/>
      <w:color w:val="404040"/>
      <w:sz w:val="16"/>
    </w:rPr>
    <w:tblPr>
      <w:tblCellMar>
        <w:top w:w="113" w:type="dxa"/>
        <w:bottom w:w="113" w:type="dxa"/>
      </w:tblCellMar>
    </w:tblPr>
    <w:tcPr>
      <w:shd w:val="clear" w:color="auto" w:fill="EEF3FA"/>
    </w:tcPr>
  </w:style>
  <w:style w:type="paragraph" w:customStyle="1" w:styleId="ochagraphtitle">
    <w:name w:val="ocha_graph_title"/>
    <w:qFormat/>
    <w:rsid w:val="00326264"/>
    <w:pPr>
      <w:spacing w:after="0" w:line="360" w:lineRule="auto"/>
    </w:pPr>
    <w:rPr>
      <w:rFonts w:ascii="Arial" w:hAnsi="Arial"/>
      <w:b/>
      <w:color w:val="404040"/>
      <w:sz w:val="16"/>
    </w:rPr>
  </w:style>
  <w:style w:type="paragraph" w:customStyle="1" w:styleId="ochabignumber">
    <w:name w:val="ocha_big_number"/>
    <w:basedOn w:val="Normal"/>
    <w:qFormat/>
    <w:rsid w:val="00941394"/>
    <w:rPr>
      <w:color w:val="026CB6"/>
      <w:sz w:val="32"/>
      <w:szCs w:val="32"/>
    </w:rPr>
  </w:style>
  <w:style w:type="paragraph" w:styleId="Caption">
    <w:name w:val="caption"/>
    <w:basedOn w:val="Normal"/>
    <w:next w:val="Normal"/>
    <w:uiPriority w:val="35"/>
    <w:unhideWhenUsed/>
    <w:qFormat/>
    <w:rsid w:val="00221AA2"/>
    <w:pPr>
      <w:spacing w:after="200"/>
    </w:pPr>
    <w:rPr>
      <w:b/>
      <w:bCs/>
      <w:color w:val="4F81BD" w:themeColor="accent1"/>
      <w:sz w:val="18"/>
      <w:szCs w:val="18"/>
    </w:rPr>
  </w:style>
  <w:style w:type="paragraph" w:customStyle="1" w:styleId="ochabignumerinbox">
    <w:name w:val="ocha_big_numer_in_box"/>
    <w:next w:val="ochacontenttext"/>
    <w:qFormat/>
    <w:rsid w:val="0031001D"/>
    <w:pPr>
      <w:framePr w:hSpace="181" w:wrap="around" w:vAnchor="text" w:hAnchor="text" w:xAlign="right" w:y="1"/>
      <w:suppressOverlap/>
      <w:jc w:val="center"/>
    </w:pPr>
    <w:rPr>
      <w:rFonts w:ascii="Arial" w:hAnsi="Arial"/>
      <w:color w:val="026CB6"/>
      <w:sz w:val="36"/>
      <w:szCs w:val="36"/>
    </w:rPr>
  </w:style>
  <w:style w:type="paragraph" w:styleId="ListParagraph">
    <w:name w:val="List Paragraph"/>
    <w:basedOn w:val="Normal"/>
    <w:uiPriority w:val="34"/>
    <w:qFormat/>
    <w:rsid w:val="00346C3B"/>
    <w:pPr>
      <w:ind w:left="720"/>
      <w:contextualSpacing/>
    </w:pPr>
  </w:style>
  <w:style w:type="paragraph" w:styleId="Title">
    <w:name w:val="Title"/>
    <w:basedOn w:val="Normal"/>
    <w:link w:val="TitleChar"/>
    <w:qFormat/>
    <w:rsid w:val="00600C82"/>
    <w:pPr>
      <w:tabs>
        <w:tab w:val="left" w:pos="0"/>
        <w:tab w:val="center" w:pos="4512"/>
        <w:tab w:val="left" w:pos="5040"/>
        <w:tab w:val="left" w:pos="5760"/>
        <w:tab w:val="left" w:pos="6480"/>
        <w:tab w:val="left" w:pos="7200"/>
        <w:tab w:val="left" w:pos="7920"/>
        <w:tab w:val="left" w:pos="8640"/>
      </w:tabs>
      <w:jc w:val="center"/>
    </w:pPr>
    <w:rPr>
      <w:rFonts w:ascii="Times New Roman" w:eastAsia="Times New Roman" w:hAnsi="Times New Roman" w:cs="Times New Roman"/>
      <w:b/>
      <w:color w:val="auto"/>
      <w:szCs w:val="20"/>
    </w:rPr>
  </w:style>
  <w:style w:type="character" w:customStyle="1" w:styleId="TitleChar">
    <w:name w:val="Title Char"/>
    <w:basedOn w:val="DefaultParagraphFont"/>
    <w:link w:val="Title"/>
    <w:rsid w:val="00600C82"/>
    <w:rPr>
      <w:rFonts w:ascii="Times New Roman" w:eastAsia="Times New Roman" w:hAnsi="Times New Roman" w:cs="Times New Roman"/>
      <w:b/>
      <w:sz w:val="20"/>
      <w:szCs w:val="20"/>
    </w:rPr>
  </w:style>
  <w:style w:type="character" w:customStyle="1" w:styleId="Heading2Char">
    <w:name w:val="Heading 2 Char"/>
    <w:basedOn w:val="DefaultParagraphFont"/>
    <w:link w:val="Heading2"/>
    <w:uiPriority w:val="9"/>
    <w:semiHidden/>
    <w:rsid w:val="00600C82"/>
    <w:rPr>
      <w:rFonts w:asciiTheme="majorHAnsi" w:eastAsiaTheme="majorEastAsia" w:hAnsiTheme="majorHAnsi" w:cstheme="majorBidi"/>
      <w:b/>
      <w:bCs/>
      <w:color w:val="4F81BD" w:themeColor="accent1"/>
      <w:sz w:val="26"/>
      <w:szCs w:val="26"/>
    </w:rPr>
  </w:style>
  <w:style w:type="paragraph" w:styleId="Index1">
    <w:name w:val="index 1"/>
    <w:basedOn w:val="Normal"/>
    <w:next w:val="Normal"/>
    <w:semiHidden/>
    <w:rsid w:val="00210ADB"/>
    <w:pPr>
      <w:widowControl w:val="0"/>
      <w:tabs>
        <w:tab w:val="left" w:pos="0"/>
        <w:tab w:val="right" w:leader="dot" w:pos="7200"/>
        <w:tab w:val="left" w:pos="7920"/>
      </w:tabs>
      <w:ind w:left="1440" w:right="720"/>
    </w:pPr>
    <w:rPr>
      <w:rFonts w:ascii="Times New Roman" w:eastAsia="Times New Roman" w:hAnsi="Times New Roman" w:cs="Times New Roman"/>
      <w:color w:val="auto"/>
      <w:sz w:val="24"/>
      <w:szCs w:val="20"/>
    </w:rPr>
  </w:style>
  <w:style w:type="paragraph" w:styleId="BodyText">
    <w:name w:val="Body Text"/>
    <w:basedOn w:val="Normal"/>
    <w:link w:val="BodyTextChar"/>
    <w:rsid w:val="00CD079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Pr>
      <w:rFonts w:ascii="Times New Roman" w:eastAsia="Times New Roman" w:hAnsi="Times New Roman" w:cs="Times New Roman"/>
      <w:color w:val="auto"/>
      <w:sz w:val="22"/>
      <w:szCs w:val="20"/>
    </w:rPr>
  </w:style>
  <w:style w:type="character" w:customStyle="1" w:styleId="BodyTextChar">
    <w:name w:val="Body Text Char"/>
    <w:basedOn w:val="DefaultParagraphFont"/>
    <w:link w:val="BodyText"/>
    <w:rsid w:val="00CD079A"/>
    <w:rPr>
      <w:rFonts w:ascii="Times New Roman" w:eastAsia="Times New Roman" w:hAnsi="Times New Roman" w:cs="Times New Roman"/>
      <w:szCs w:val="20"/>
    </w:rPr>
  </w:style>
  <w:style w:type="paragraph" w:styleId="FootnoteText">
    <w:name w:val="footnote text"/>
    <w:basedOn w:val="Normal"/>
    <w:link w:val="FootnoteTextChar"/>
    <w:uiPriority w:val="99"/>
    <w:unhideWhenUsed/>
    <w:rsid w:val="00454100"/>
    <w:pPr>
      <w:suppressAutoHyphens/>
    </w:pPr>
    <w:rPr>
      <w:rFonts w:ascii="Times New Roman" w:eastAsia="SimSun" w:hAnsi="Times New Roman" w:cs="Times New Roman"/>
      <w:color w:val="auto"/>
      <w:szCs w:val="20"/>
      <w:lang w:val="en-GB" w:eastAsia="ar-SA"/>
    </w:rPr>
  </w:style>
  <w:style w:type="character" w:customStyle="1" w:styleId="FootnoteTextChar">
    <w:name w:val="Footnote Text Char"/>
    <w:basedOn w:val="DefaultParagraphFont"/>
    <w:link w:val="FootnoteText"/>
    <w:uiPriority w:val="99"/>
    <w:rsid w:val="00454100"/>
    <w:rPr>
      <w:rFonts w:ascii="Times New Roman" w:eastAsia="SimSun" w:hAnsi="Times New Roman" w:cs="Times New Roman"/>
      <w:sz w:val="20"/>
      <w:szCs w:val="20"/>
      <w:lang w:val="en-GB" w:eastAsia="ar-SA"/>
    </w:rPr>
  </w:style>
  <w:style w:type="character" w:styleId="FootnoteReference">
    <w:name w:val="footnote reference"/>
    <w:uiPriority w:val="99"/>
    <w:unhideWhenUsed/>
    <w:rsid w:val="00454100"/>
    <w:rPr>
      <w:vertAlign w:val="superscript"/>
    </w:rPr>
  </w:style>
  <w:style w:type="paragraph" w:customStyle="1" w:styleId="MediumGrid1-Accent21">
    <w:name w:val="Medium Grid 1 - Accent 21"/>
    <w:basedOn w:val="Normal"/>
    <w:uiPriority w:val="34"/>
    <w:qFormat/>
    <w:rsid w:val="00454100"/>
    <w:pPr>
      <w:ind w:left="720"/>
      <w:contextualSpacing/>
    </w:pPr>
    <w:rPr>
      <w:rFonts w:ascii="Calibri" w:eastAsia="Calibri" w:hAnsi="Calibri" w:cs="Times New Roman"/>
      <w:color w:val="auto"/>
      <w:sz w:val="22"/>
      <w:lang w:val="nl-NL"/>
    </w:rPr>
  </w:style>
  <w:style w:type="paragraph" w:styleId="EndnoteText">
    <w:name w:val="endnote text"/>
    <w:basedOn w:val="Normal"/>
    <w:link w:val="EndnoteTextChar"/>
    <w:uiPriority w:val="99"/>
    <w:semiHidden/>
    <w:unhideWhenUsed/>
    <w:rsid w:val="00113E69"/>
    <w:rPr>
      <w:szCs w:val="20"/>
    </w:rPr>
  </w:style>
  <w:style w:type="character" w:customStyle="1" w:styleId="EndnoteTextChar">
    <w:name w:val="Endnote Text Char"/>
    <w:basedOn w:val="DefaultParagraphFont"/>
    <w:link w:val="EndnoteText"/>
    <w:uiPriority w:val="99"/>
    <w:semiHidden/>
    <w:rsid w:val="00113E69"/>
    <w:rPr>
      <w:rFonts w:ascii="Arial" w:hAnsi="Arial"/>
      <w:color w:val="404040"/>
      <w:sz w:val="20"/>
      <w:szCs w:val="20"/>
    </w:rPr>
  </w:style>
  <w:style w:type="character" w:styleId="EndnoteReference">
    <w:name w:val="endnote reference"/>
    <w:basedOn w:val="DefaultParagraphFont"/>
    <w:uiPriority w:val="99"/>
    <w:semiHidden/>
    <w:unhideWhenUsed/>
    <w:rsid w:val="00113E69"/>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7CA4"/>
    <w:pPr>
      <w:spacing w:after="0" w:line="240" w:lineRule="auto"/>
    </w:pPr>
    <w:rPr>
      <w:rFonts w:ascii="Arial" w:hAnsi="Arial"/>
      <w:color w:val="404040"/>
      <w:sz w:val="20"/>
    </w:rPr>
  </w:style>
  <w:style w:type="paragraph" w:styleId="Heading1">
    <w:name w:val="heading 1"/>
    <w:basedOn w:val="Normal"/>
    <w:next w:val="Normal"/>
    <w:link w:val="Heading1Char"/>
    <w:uiPriority w:val="9"/>
    <w:qFormat/>
    <w:rsid w:val="0091269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600C82"/>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A62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A62A5"/>
    <w:rPr>
      <w:rFonts w:ascii="Tahoma" w:hAnsi="Tahoma" w:cs="Tahoma"/>
      <w:sz w:val="16"/>
      <w:szCs w:val="16"/>
    </w:rPr>
  </w:style>
  <w:style w:type="character" w:customStyle="1" w:styleId="BalloonTextChar">
    <w:name w:val="Balloon Text Char"/>
    <w:basedOn w:val="DefaultParagraphFont"/>
    <w:link w:val="BalloonText"/>
    <w:uiPriority w:val="99"/>
    <w:semiHidden/>
    <w:rsid w:val="00FA62A5"/>
    <w:rPr>
      <w:rFonts w:ascii="Tahoma" w:hAnsi="Tahoma" w:cs="Tahoma"/>
      <w:sz w:val="16"/>
      <w:szCs w:val="16"/>
    </w:rPr>
  </w:style>
  <w:style w:type="paragraph" w:customStyle="1" w:styleId="ochaheadertitle">
    <w:name w:val="ocha_header_title"/>
    <w:qFormat/>
    <w:rsid w:val="00EF4170"/>
    <w:pPr>
      <w:spacing w:after="0" w:line="240" w:lineRule="auto"/>
    </w:pPr>
    <w:rPr>
      <w:rFonts w:ascii="Arial" w:eastAsia="Times New Roman" w:hAnsi="Arial" w:cs="Arial"/>
      <w:b/>
      <w:color w:val="FFFFFF"/>
      <w:sz w:val="28"/>
      <w:szCs w:val="28"/>
    </w:rPr>
  </w:style>
  <w:style w:type="paragraph" w:customStyle="1" w:styleId="ochaheadersubtitle">
    <w:name w:val="ocha_header_subtitle"/>
    <w:qFormat/>
    <w:rsid w:val="00FA62A5"/>
    <w:pPr>
      <w:spacing w:after="0"/>
    </w:pPr>
    <w:rPr>
      <w:rFonts w:ascii="Arial" w:hAnsi="Arial"/>
      <w:color w:val="FFFFFF" w:themeColor="background1"/>
      <w:sz w:val="26"/>
      <w:szCs w:val="26"/>
    </w:rPr>
  </w:style>
  <w:style w:type="paragraph" w:customStyle="1" w:styleId="ochacontentheading">
    <w:name w:val="ocha_content_heading"/>
    <w:qFormat/>
    <w:rsid w:val="00AD6792"/>
    <w:pPr>
      <w:widowControl w:val="0"/>
      <w:pBdr>
        <w:bottom w:val="single" w:sz="2" w:space="1" w:color="026CB6"/>
      </w:pBdr>
      <w:spacing w:before="240" w:after="160" w:line="440" w:lineRule="exact"/>
    </w:pPr>
    <w:rPr>
      <w:rFonts w:ascii="Arial" w:eastAsia="Calibri" w:hAnsi="Arial" w:cs="Arial"/>
      <w:color w:val="026CB6"/>
      <w:spacing w:val="8"/>
      <w:w w:val="90"/>
      <w:sz w:val="40"/>
      <w:szCs w:val="40"/>
      <w:lang w:val="en"/>
    </w:rPr>
  </w:style>
  <w:style w:type="paragraph" w:customStyle="1" w:styleId="ochacontenttext">
    <w:name w:val="ocha_content_text"/>
    <w:qFormat/>
    <w:rsid w:val="00B72C22"/>
    <w:pPr>
      <w:spacing w:after="100" w:line="240" w:lineRule="auto"/>
    </w:pPr>
    <w:rPr>
      <w:rFonts w:ascii="Arial" w:eastAsia="PMingLiU" w:hAnsi="Arial" w:cs="Times New Roman"/>
      <w:color w:val="404040"/>
      <w:sz w:val="20"/>
      <w:szCs w:val="24"/>
      <w:lang w:eastAsia="zh-TW"/>
    </w:rPr>
  </w:style>
  <w:style w:type="paragraph" w:customStyle="1" w:styleId="ochacontentheading2">
    <w:name w:val="ocha_content_heading2"/>
    <w:qFormat/>
    <w:rsid w:val="00F62EE0"/>
    <w:pPr>
      <w:pBdr>
        <w:bottom w:val="single" w:sz="2" w:space="1" w:color="D9D9D9" w:themeColor="background1" w:themeShade="D9"/>
      </w:pBdr>
      <w:spacing w:before="160" w:after="100" w:line="240" w:lineRule="auto"/>
    </w:pPr>
    <w:rPr>
      <w:rFonts w:ascii="Arial" w:eastAsia="PMingLiU" w:hAnsi="Arial" w:cs="Times New Roman"/>
      <w:b/>
      <w:color w:val="026CB6"/>
      <w:szCs w:val="20"/>
      <w:lang w:eastAsia="zh-TW"/>
    </w:rPr>
  </w:style>
  <w:style w:type="character" w:styleId="Hyperlink">
    <w:name w:val="Hyperlink"/>
    <w:basedOn w:val="DefaultParagraphFont"/>
    <w:unhideWhenUsed/>
    <w:rsid w:val="00192C7D"/>
    <w:rPr>
      <w:color w:val="026CB6"/>
      <w:u w:val="none"/>
    </w:rPr>
  </w:style>
  <w:style w:type="paragraph" w:customStyle="1" w:styleId="ochabulletpoint">
    <w:name w:val="ocha_bullet_point"/>
    <w:qFormat/>
    <w:rsid w:val="00897505"/>
    <w:pPr>
      <w:numPr>
        <w:numId w:val="2"/>
      </w:numPr>
      <w:spacing w:before="100" w:after="100" w:line="240" w:lineRule="auto"/>
      <w:ind w:left="284" w:hanging="284"/>
      <w:contextualSpacing/>
    </w:pPr>
    <w:rPr>
      <w:rFonts w:ascii="Arial" w:eastAsia="PMingLiU" w:hAnsi="Arial" w:cs="Times New Roman"/>
      <w:color w:val="404040"/>
      <w:sz w:val="20"/>
      <w:szCs w:val="24"/>
      <w:lang w:eastAsia="zh-TW"/>
    </w:rPr>
  </w:style>
  <w:style w:type="character" w:customStyle="1" w:styleId="ochared">
    <w:name w:val="ocha_red"/>
    <w:uiPriority w:val="1"/>
    <w:qFormat/>
    <w:rsid w:val="00F02BA3"/>
    <w:rPr>
      <w:color w:val="BA1222"/>
    </w:rPr>
  </w:style>
  <w:style w:type="paragraph" w:styleId="Header">
    <w:name w:val="header"/>
    <w:basedOn w:val="Normal"/>
    <w:link w:val="HeaderChar"/>
    <w:uiPriority w:val="99"/>
    <w:unhideWhenUsed/>
    <w:rsid w:val="00244D64"/>
    <w:pPr>
      <w:tabs>
        <w:tab w:val="center" w:pos="4680"/>
        <w:tab w:val="right" w:pos="9360"/>
      </w:tabs>
    </w:pPr>
  </w:style>
  <w:style w:type="character" w:customStyle="1" w:styleId="HeaderChar">
    <w:name w:val="Header Char"/>
    <w:basedOn w:val="DefaultParagraphFont"/>
    <w:link w:val="Header"/>
    <w:uiPriority w:val="99"/>
    <w:rsid w:val="00244D64"/>
    <w:rPr>
      <w:rFonts w:ascii="Arial" w:hAnsi="Arial"/>
      <w:sz w:val="20"/>
    </w:rPr>
  </w:style>
  <w:style w:type="paragraph" w:styleId="Footer">
    <w:name w:val="footer"/>
    <w:basedOn w:val="Normal"/>
    <w:link w:val="FooterChar"/>
    <w:uiPriority w:val="99"/>
    <w:unhideWhenUsed/>
    <w:rsid w:val="00244D64"/>
    <w:pPr>
      <w:tabs>
        <w:tab w:val="center" w:pos="4680"/>
        <w:tab w:val="right" w:pos="9360"/>
      </w:tabs>
    </w:pPr>
  </w:style>
  <w:style w:type="character" w:customStyle="1" w:styleId="FooterChar">
    <w:name w:val="Footer Char"/>
    <w:basedOn w:val="DefaultParagraphFont"/>
    <w:link w:val="Footer"/>
    <w:uiPriority w:val="99"/>
    <w:rsid w:val="00244D64"/>
    <w:rPr>
      <w:rFonts w:ascii="Arial" w:hAnsi="Arial"/>
      <w:sz w:val="20"/>
    </w:rPr>
  </w:style>
  <w:style w:type="paragraph" w:customStyle="1" w:styleId="ochacaption">
    <w:name w:val="ocha_caption"/>
    <w:qFormat/>
    <w:rsid w:val="00CA5E55"/>
    <w:pPr>
      <w:spacing w:after="0" w:line="240" w:lineRule="auto"/>
    </w:pPr>
    <w:rPr>
      <w:rFonts w:ascii="Arial" w:hAnsi="Arial"/>
      <w:color w:val="808080" w:themeColor="background1" w:themeShade="80"/>
      <w:sz w:val="14"/>
      <w:szCs w:val="14"/>
    </w:rPr>
  </w:style>
  <w:style w:type="paragraph" w:customStyle="1" w:styleId="ochaheaderfooter">
    <w:name w:val="ocha_header_footer"/>
    <w:rsid w:val="00435969"/>
    <w:pPr>
      <w:spacing w:after="0" w:line="240" w:lineRule="auto"/>
    </w:pPr>
    <w:rPr>
      <w:rFonts w:ascii="Arial" w:eastAsia="PMingLiU" w:hAnsi="Arial" w:cs="Arial"/>
      <w:color w:val="999999"/>
      <w:sz w:val="16"/>
      <w:szCs w:val="16"/>
      <w:lang w:eastAsia="zh-TW"/>
    </w:rPr>
  </w:style>
  <w:style w:type="paragraph" w:customStyle="1" w:styleId="ochatabletext">
    <w:name w:val="ocha_table_text"/>
    <w:qFormat/>
    <w:rsid w:val="00B134CD"/>
    <w:pPr>
      <w:spacing w:after="0"/>
    </w:pPr>
    <w:rPr>
      <w:rFonts w:ascii="Arial" w:hAnsi="Arial"/>
      <w:color w:val="404040"/>
      <w:sz w:val="16"/>
    </w:rPr>
  </w:style>
  <w:style w:type="table" w:styleId="MediumList2-Accent3">
    <w:name w:val="Medium List 2 Accent 3"/>
    <w:basedOn w:val="TableNormal"/>
    <w:uiPriority w:val="66"/>
    <w:rsid w:val="00B72C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LightShading">
    <w:name w:val="Light Shading"/>
    <w:basedOn w:val="TableNormal"/>
    <w:uiPriority w:val="60"/>
    <w:rsid w:val="008B2B79"/>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MediumGrid3-Accent2">
    <w:name w:val="Medium Grid 3 Accent 2"/>
    <w:basedOn w:val="TableNormal"/>
    <w:uiPriority w:val="69"/>
    <w:rsid w:val="00440047"/>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customStyle="1" w:styleId="ochatablesimple">
    <w:name w:val="ocha_table_simple"/>
    <w:basedOn w:val="TableNormal"/>
    <w:uiPriority w:val="99"/>
    <w:rsid w:val="00B1239E"/>
    <w:pPr>
      <w:spacing w:after="0" w:line="240" w:lineRule="auto"/>
    </w:pPr>
    <w:rPr>
      <w:rFonts w:ascii="Arial" w:hAnsi="Arial"/>
      <w:color w:val="404040"/>
      <w:sz w:val="16"/>
    </w:rPr>
    <w:tblPr>
      <w:tblStyleRowBandSize w:val="1"/>
      <w:tblStyleColBandSize w:val="1"/>
      <w:tblBorders>
        <w:bottom w:val="single" w:sz="2" w:space="0" w:color="A6A6A6"/>
      </w:tblBorders>
      <w:tblCellMar>
        <w:top w:w="45" w:type="dxa"/>
        <w:bottom w:w="45" w:type="dxa"/>
      </w:tblCellMar>
    </w:tblPr>
    <w:tblStylePr w:type="firstRow">
      <w:rPr>
        <w:rFonts w:ascii="Arial" w:hAnsi="Arial"/>
        <w:b w:val="0"/>
        <w:i w:val="0"/>
        <w:sz w:val="16"/>
      </w:rPr>
      <w:tblPr/>
      <w:tcPr>
        <w:tcBorders>
          <w:bottom w:val="single" w:sz="4" w:space="0" w:color="404040" w:themeColor="text1" w:themeTint="BF"/>
        </w:tcBorders>
      </w:tcPr>
    </w:tblStylePr>
    <w:tblStylePr w:type="lastRow">
      <w:pPr>
        <w:jc w:val="left"/>
      </w:pPr>
      <w:rPr>
        <w:rFonts w:ascii="Arial" w:hAnsi="Arial"/>
        <w:b w:val="0"/>
        <w:i w:val="0"/>
        <w:sz w:val="16"/>
      </w:rPr>
      <w:tblPr/>
      <w:tcPr>
        <w:tcBorders>
          <w:top w:val="single" w:sz="2" w:space="0" w:color="A6A6A6"/>
          <w:left w:val="nil"/>
          <w:bottom w:val="nil"/>
          <w:right w:val="nil"/>
          <w:insideH w:val="nil"/>
          <w:insideV w:val="nil"/>
          <w:tl2br w:val="nil"/>
          <w:tr2bl w:val="nil"/>
        </w:tcBorders>
      </w:tcPr>
    </w:tblStylePr>
  </w:style>
  <w:style w:type="table" w:styleId="LightShading-Accent4">
    <w:name w:val="Light Shading Accent 4"/>
    <w:basedOn w:val="TableNormal"/>
    <w:uiPriority w:val="60"/>
    <w:rsid w:val="0097321C"/>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2">
    <w:name w:val="Light Shading Accent 2"/>
    <w:basedOn w:val="TableNormal"/>
    <w:uiPriority w:val="60"/>
    <w:rsid w:val="0097321C"/>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1">
    <w:name w:val="Light Shading Accent 1"/>
    <w:basedOn w:val="TableNormal"/>
    <w:uiPriority w:val="60"/>
    <w:rsid w:val="003D2E3A"/>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Heading1Char">
    <w:name w:val="Heading 1 Char"/>
    <w:basedOn w:val="DefaultParagraphFont"/>
    <w:link w:val="Heading1"/>
    <w:uiPriority w:val="9"/>
    <w:rsid w:val="00912698"/>
    <w:rPr>
      <w:rFonts w:asciiTheme="majorHAnsi" w:eastAsiaTheme="majorEastAsia" w:hAnsiTheme="majorHAnsi" w:cstheme="majorBidi"/>
      <w:b/>
      <w:bCs/>
      <w:color w:val="365F91" w:themeColor="accent1" w:themeShade="BF"/>
      <w:sz w:val="28"/>
      <w:szCs w:val="28"/>
    </w:rPr>
  </w:style>
  <w:style w:type="table" w:customStyle="1" w:styleId="Style1">
    <w:name w:val="Style1"/>
    <w:basedOn w:val="TableNormal"/>
    <w:uiPriority w:val="99"/>
    <w:rsid w:val="002A3F07"/>
    <w:pPr>
      <w:spacing w:after="0" w:line="240" w:lineRule="auto"/>
    </w:pPr>
    <w:rPr>
      <w:rFonts w:ascii="Arial" w:hAnsi="Arial"/>
      <w:color w:val="404040"/>
      <w:sz w:val="16"/>
    </w:rPr>
    <w:tblPr>
      <w:tblStyleRowBandSize w:val="1"/>
      <w:tblBorders>
        <w:top w:val="single" w:sz="4" w:space="0" w:color="003469"/>
        <w:left w:val="single" w:sz="4" w:space="0" w:color="FFFFFF" w:themeColor="background1"/>
        <w:bottom w:val="single" w:sz="4" w:space="0" w:color="003469"/>
        <w:right w:val="single" w:sz="4" w:space="0" w:color="FFFFFF" w:themeColor="background1"/>
        <w:insideH w:val="single" w:sz="4" w:space="0" w:color="FFFFFF" w:themeColor="background1"/>
        <w:insideV w:val="single" w:sz="4" w:space="0" w:color="FFFFFF" w:themeColor="background1"/>
      </w:tblBorders>
      <w:tblCellMar>
        <w:top w:w="45" w:type="dxa"/>
        <w:bottom w:w="45" w:type="dxa"/>
      </w:tblCellMar>
    </w:tblPr>
    <w:tblStylePr w:type="firstRow">
      <w:rPr>
        <w:b/>
      </w:rPr>
      <w:tblPr/>
      <w:tcPr>
        <w:tcBorders>
          <w:top w:val="single" w:sz="4" w:space="0" w:color="003469"/>
          <w:left w:val="single" w:sz="4" w:space="0" w:color="FFFFFF" w:themeColor="background1"/>
          <w:bottom w:val="single" w:sz="4" w:space="0" w:color="003469"/>
          <w:right w:val="single" w:sz="4" w:space="0" w:color="FFFFFF" w:themeColor="background1"/>
          <w:insideH w:val="nil"/>
          <w:insideV w:val="single" w:sz="4" w:space="0" w:color="FFFFFF" w:themeColor="background1"/>
          <w:tl2br w:val="nil"/>
          <w:tr2bl w:val="nil"/>
        </w:tcBorders>
        <w:shd w:val="clear" w:color="auto" w:fill="C7D6EE"/>
      </w:tcPr>
    </w:tblStylePr>
    <w:tblStylePr w:type="band1Horz">
      <w:tblPr/>
      <w:tcPr>
        <w:shd w:val="clear" w:color="auto" w:fill="EEF3FA"/>
      </w:tcPr>
    </w:tblStylePr>
    <w:tblStylePr w:type="band2Horz">
      <w:tblPr/>
      <w:tcPr>
        <w:shd w:val="clear" w:color="auto" w:fill="E1E8F6"/>
      </w:tcPr>
    </w:tblStylePr>
  </w:style>
  <w:style w:type="table" w:customStyle="1" w:styleId="ochabluelongtext">
    <w:name w:val="ocha_blue_longtext"/>
    <w:basedOn w:val="TableNormal"/>
    <w:uiPriority w:val="99"/>
    <w:rsid w:val="002A3F07"/>
    <w:pPr>
      <w:spacing w:after="0" w:line="240" w:lineRule="auto"/>
    </w:pPr>
    <w:rPr>
      <w:rFonts w:ascii="Arial" w:hAnsi="Arial"/>
      <w:color w:val="404040"/>
      <w:sz w:val="16"/>
    </w:rPr>
    <w:tblPr>
      <w:tblStyleRowBandSize w:val="1"/>
      <w:tblBorders>
        <w:top w:val="single" w:sz="4" w:space="0" w:color="003469"/>
        <w:left w:val="single" w:sz="4" w:space="0" w:color="FFFFFF" w:themeColor="background1"/>
        <w:bottom w:val="single" w:sz="4" w:space="0" w:color="003469"/>
        <w:right w:val="single" w:sz="4" w:space="0" w:color="FFFFFF" w:themeColor="background1"/>
        <w:insideH w:val="single" w:sz="4" w:space="0" w:color="FFFFFF" w:themeColor="background1"/>
        <w:insideV w:val="single" w:sz="4" w:space="0" w:color="FFFFFF" w:themeColor="background1"/>
      </w:tblBorders>
      <w:tblCellMar>
        <w:top w:w="45" w:type="dxa"/>
        <w:bottom w:w="45" w:type="dxa"/>
      </w:tblCellMar>
    </w:tblPr>
    <w:tblStylePr w:type="firstRow">
      <w:rPr>
        <w:b/>
      </w:rPr>
      <w:tblPr/>
      <w:tcPr>
        <w:tcBorders>
          <w:top w:val="single" w:sz="4" w:space="0" w:color="003469"/>
          <w:left w:val="single" w:sz="4" w:space="0" w:color="FFFFFF" w:themeColor="background1"/>
          <w:bottom w:val="single" w:sz="4" w:space="0" w:color="003469"/>
          <w:right w:val="single" w:sz="4" w:space="0" w:color="FFFFFF" w:themeColor="background1"/>
          <w:insideH w:val="nil"/>
          <w:insideV w:val="single" w:sz="4" w:space="0" w:color="FFFFFF" w:themeColor="background1"/>
          <w:tl2br w:val="nil"/>
          <w:tr2bl w:val="nil"/>
        </w:tcBorders>
        <w:shd w:val="clear" w:color="auto" w:fill="C7D6EE"/>
      </w:tcPr>
    </w:tblStylePr>
    <w:tblStylePr w:type="band1Horz">
      <w:tblPr/>
      <w:tcPr>
        <w:shd w:val="clear" w:color="auto" w:fill="EEF3FA"/>
      </w:tcPr>
    </w:tblStylePr>
    <w:tblStylePr w:type="band2Horz">
      <w:tblPr/>
      <w:tcPr>
        <w:shd w:val="clear" w:color="auto" w:fill="FFFFFF" w:themeFill="background1"/>
      </w:tcPr>
    </w:tblStylePr>
  </w:style>
  <w:style w:type="table" w:customStyle="1" w:styleId="ochatablesimplelongtext">
    <w:name w:val="ocha_table_simple_longtext"/>
    <w:basedOn w:val="TableNormal"/>
    <w:uiPriority w:val="99"/>
    <w:rsid w:val="00AD09AE"/>
    <w:pPr>
      <w:spacing w:after="0" w:line="240" w:lineRule="auto"/>
    </w:pPr>
    <w:rPr>
      <w:rFonts w:ascii="Arial" w:hAnsi="Arial"/>
      <w:sz w:val="16"/>
    </w:rPr>
    <w:tblPr>
      <w:tblStyleRowBandSize w:val="1"/>
      <w:tblBorders>
        <w:bottom w:val="single" w:sz="2" w:space="0" w:color="A6A6A6"/>
        <w:insideH w:val="single" w:sz="2" w:space="0" w:color="F2F2F2" w:themeColor="background1" w:themeShade="F2"/>
      </w:tblBorders>
      <w:tblCellMar>
        <w:top w:w="45" w:type="dxa"/>
        <w:bottom w:w="45" w:type="dxa"/>
      </w:tblCellMar>
    </w:tblPr>
    <w:tblStylePr w:type="firstRow">
      <w:tblPr/>
      <w:tcPr>
        <w:tcBorders>
          <w:bottom w:val="single" w:sz="4" w:space="0" w:color="404040"/>
        </w:tcBorders>
      </w:tcPr>
    </w:tblStylePr>
    <w:tblStylePr w:type="lastRow">
      <w:tblPr/>
      <w:tcPr>
        <w:tcBorders>
          <w:top w:val="nil"/>
          <w:left w:val="nil"/>
          <w:bottom w:val="nil"/>
          <w:right w:val="nil"/>
          <w:insideH w:val="nil"/>
          <w:insideV w:val="nil"/>
          <w:tl2br w:val="nil"/>
          <w:tr2bl w:val="nil"/>
        </w:tcBorders>
      </w:tcPr>
    </w:tblStylePr>
    <w:tblStylePr w:type="band1Horz">
      <w:tblPr/>
      <w:tcPr>
        <w:tcBorders>
          <w:top w:val="nil"/>
          <w:left w:val="nil"/>
          <w:bottom w:val="nil"/>
          <w:right w:val="nil"/>
          <w:insideH w:val="nil"/>
          <w:insideV w:val="nil"/>
          <w:tl2br w:val="nil"/>
          <w:tr2bl w:val="nil"/>
        </w:tcBorders>
      </w:tcPr>
    </w:tblStylePr>
    <w:tblStylePr w:type="band2Horz">
      <w:tblPr/>
      <w:tcPr>
        <w:tcBorders>
          <w:top w:val="nil"/>
          <w:left w:val="nil"/>
          <w:bottom w:val="nil"/>
          <w:right w:val="nil"/>
          <w:insideH w:val="nil"/>
          <w:insideV w:val="nil"/>
          <w:tl2br w:val="nil"/>
          <w:tr2bl w:val="nil"/>
        </w:tcBorders>
      </w:tcPr>
    </w:tblStylePr>
  </w:style>
  <w:style w:type="table" w:styleId="TableGrid2">
    <w:name w:val="Table Grid 2"/>
    <w:basedOn w:val="TableNormal"/>
    <w:uiPriority w:val="99"/>
    <w:semiHidden/>
    <w:unhideWhenUsed/>
    <w:rsid w:val="00F869C4"/>
    <w:pPr>
      <w:spacing w:line="240" w:lineRule="auto"/>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ochablue">
    <w:name w:val="ocha_blue"/>
    <w:uiPriority w:val="1"/>
    <w:qFormat/>
    <w:rsid w:val="00C70332"/>
    <w:rPr>
      <w:color w:val="026CB6"/>
    </w:rPr>
  </w:style>
  <w:style w:type="table" w:customStyle="1" w:styleId="ochabluebox">
    <w:name w:val="ocha_blue_box"/>
    <w:basedOn w:val="TableNormal"/>
    <w:uiPriority w:val="99"/>
    <w:rsid w:val="00AD1A24"/>
    <w:pPr>
      <w:spacing w:after="0" w:line="240" w:lineRule="auto"/>
    </w:pPr>
    <w:rPr>
      <w:rFonts w:ascii="Arial" w:hAnsi="Arial"/>
      <w:color w:val="404040"/>
      <w:sz w:val="16"/>
    </w:rPr>
    <w:tblPr>
      <w:tblCellMar>
        <w:top w:w="113" w:type="dxa"/>
        <w:bottom w:w="113" w:type="dxa"/>
      </w:tblCellMar>
    </w:tblPr>
    <w:tcPr>
      <w:shd w:val="clear" w:color="auto" w:fill="EEF3FA"/>
    </w:tcPr>
  </w:style>
  <w:style w:type="paragraph" w:customStyle="1" w:styleId="ochagraphtitle">
    <w:name w:val="ocha_graph_title"/>
    <w:qFormat/>
    <w:rsid w:val="00326264"/>
    <w:pPr>
      <w:spacing w:after="0" w:line="360" w:lineRule="auto"/>
    </w:pPr>
    <w:rPr>
      <w:rFonts w:ascii="Arial" w:hAnsi="Arial"/>
      <w:b/>
      <w:color w:val="404040"/>
      <w:sz w:val="16"/>
    </w:rPr>
  </w:style>
  <w:style w:type="paragraph" w:customStyle="1" w:styleId="ochabignumber">
    <w:name w:val="ocha_big_number"/>
    <w:basedOn w:val="Normal"/>
    <w:qFormat/>
    <w:rsid w:val="00941394"/>
    <w:rPr>
      <w:color w:val="026CB6"/>
      <w:sz w:val="32"/>
      <w:szCs w:val="32"/>
    </w:rPr>
  </w:style>
  <w:style w:type="paragraph" w:styleId="Caption">
    <w:name w:val="caption"/>
    <w:basedOn w:val="Normal"/>
    <w:next w:val="Normal"/>
    <w:uiPriority w:val="35"/>
    <w:unhideWhenUsed/>
    <w:qFormat/>
    <w:rsid w:val="00221AA2"/>
    <w:pPr>
      <w:spacing w:after="200"/>
    </w:pPr>
    <w:rPr>
      <w:b/>
      <w:bCs/>
      <w:color w:val="4F81BD" w:themeColor="accent1"/>
      <w:sz w:val="18"/>
      <w:szCs w:val="18"/>
    </w:rPr>
  </w:style>
  <w:style w:type="paragraph" w:customStyle="1" w:styleId="ochabignumerinbox">
    <w:name w:val="ocha_big_numer_in_box"/>
    <w:next w:val="ochacontenttext"/>
    <w:qFormat/>
    <w:rsid w:val="0031001D"/>
    <w:pPr>
      <w:framePr w:hSpace="181" w:wrap="around" w:vAnchor="text" w:hAnchor="text" w:xAlign="right" w:y="1"/>
      <w:suppressOverlap/>
      <w:jc w:val="center"/>
    </w:pPr>
    <w:rPr>
      <w:rFonts w:ascii="Arial" w:hAnsi="Arial"/>
      <w:color w:val="026CB6"/>
      <w:sz w:val="36"/>
      <w:szCs w:val="36"/>
    </w:rPr>
  </w:style>
  <w:style w:type="paragraph" w:styleId="ListParagraph">
    <w:name w:val="List Paragraph"/>
    <w:basedOn w:val="Normal"/>
    <w:uiPriority w:val="34"/>
    <w:qFormat/>
    <w:rsid w:val="00346C3B"/>
    <w:pPr>
      <w:ind w:left="720"/>
      <w:contextualSpacing/>
    </w:pPr>
  </w:style>
  <w:style w:type="paragraph" w:styleId="Title">
    <w:name w:val="Title"/>
    <w:basedOn w:val="Normal"/>
    <w:link w:val="TitleChar"/>
    <w:qFormat/>
    <w:rsid w:val="00600C82"/>
    <w:pPr>
      <w:tabs>
        <w:tab w:val="left" w:pos="0"/>
        <w:tab w:val="center" w:pos="4512"/>
        <w:tab w:val="left" w:pos="5040"/>
        <w:tab w:val="left" w:pos="5760"/>
        <w:tab w:val="left" w:pos="6480"/>
        <w:tab w:val="left" w:pos="7200"/>
        <w:tab w:val="left" w:pos="7920"/>
        <w:tab w:val="left" w:pos="8640"/>
      </w:tabs>
      <w:jc w:val="center"/>
    </w:pPr>
    <w:rPr>
      <w:rFonts w:ascii="Times New Roman" w:eastAsia="Times New Roman" w:hAnsi="Times New Roman" w:cs="Times New Roman"/>
      <w:b/>
      <w:color w:val="auto"/>
      <w:szCs w:val="20"/>
    </w:rPr>
  </w:style>
  <w:style w:type="character" w:customStyle="1" w:styleId="TitleChar">
    <w:name w:val="Title Char"/>
    <w:basedOn w:val="DefaultParagraphFont"/>
    <w:link w:val="Title"/>
    <w:rsid w:val="00600C82"/>
    <w:rPr>
      <w:rFonts w:ascii="Times New Roman" w:eastAsia="Times New Roman" w:hAnsi="Times New Roman" w:cs="Times New Roman"/>
      <w:b/>
      <w:sz w:val="20"/>
      <w:szCs w:val="20"/>
    </w:rPr>
  </w:style>
  <w:style w:type="character" w:customStyle="1" w:styleId="Heading2Char">
    <w:name w:val="Heading 2 Char"/>
    <w:basedOn w:val="DefaultParagraphFont"/>
    <w:link w:val="Heading2"/>
    <w:uiPriority w:val="9"/>
    <w:semiHidden/>
    <w:rsid w:val="00600C82"/>
    <w:rPr>
      <w:rFonts w:asciiTheme="majorHAnsi" w:eastAsiaTheme="majorEastAsia" w:hAnsiTheme="majorHAnsi" w:cstheme="majorBidi"/>
      <w:b/>
      <w:bCs/>
      <w:color w:val="4F81BD" w:themeColor="accent1"/>
      <w:sz w:val="26"/>
      <w:szCs w:val="26"/>
    </w:rPr>
  </w:style>
  <w:style w:type="paragraph" w:styleId="Index1">
    <w:name w:val="index 1"/>
    <w:basedOn w:val="Normal"/>
    <w:next w:val="Normal"/>
    <w:semiHidden/>
    <w:rsid w:val="00210ADB"/>
    <w:pPr>
      <w:widowControl w:val="0"/>
      <w:tabs>
        <w:tab w:val="left" w:pos="0"/>
        <w:tab w:val="right" w:leader="dot" w:pos="7200"/>
        <w:tab w:val="left" w:pos="7920"/>
      </w:tabs>
      <w:ind w:left="1440" w:right="720"/>
    </w:pPr>
    <w:rPr>
      <w:rFonts w:ascii="Times New Roman" w:eastAsia="Times New Roman" w:hAnsi="Times New Roman" w:cs="Times New Roman"/>
      <w:color w:val="auto"/>
      <w:sz w:val="24"/>
      <w:szCs w:val="20"/>
    </w:rPr>
  </w:style>
  <w:style w:type="paragraph" w:styleId="BodyText">
    <w:name w:val="Body Text"/>
    <w:basedOn w:val="Normal"/>
    <w:link w:val="BodyTextChar"/>
    <w:rsid w:val="00CD079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Pr>
      <w:rFonts w:ascii="Times New Roman" w:eastAsia="Times New Roman" w:hAnsi="Times New Roman" w:cs="Times New Roman"/>
      <w:color w:val="auto"/>
      <w:sz w:val="22"/>
      <w:szCs w:val="20"/>
    </w:rPr>
  </w:style>
  <w:style w:type="character" w:customStyle="1" w:styleId="BodyTextChar">
    <w:name w:val="Body Text Char"/>
    <w:basedOn w:val="DefaultParagraphFont"/>
    <w:link w:val="BodyText"/>
    <w:rsid w:val="00CD079A"/>
    <w:rPr>
      <w:rFonts w:ascii="Times New Roman" w:eastAsia="Times New Roman" w:hAnsi="Times New Roman" w:cs="Times New Roman"/>
      <w:szCs w:val="20"/>
    </w:rPr>
  </w:style>
  <w:style w:type="paragraph" w:styleId="FootnoteText">
    <w:name w:val="footnote text"/>
    <w:basedOn w:val="Normal"/>
    <w:link w:val="FootnoteTextChar"/>
    <w:uiPriority w:val="99"/>
    <w:unhideWhenUsed/>
    <w:rsid w:val="00454100"/>
    <w:pPr>
      <w:suppressAutoHyphens/>
    </w:pPr>
    <w:rPr>
      <w:rFonts w:ascii="Times New Roman" w:eastAsia="SimSun" w:hAnsi="Times New Roman" w:cs="Times New Roman"/>
      <w:color w:val="auto"/>
      <w:szCs w:val="20"/>
      <w:lang w:val="en-GB" w:eastAsia="ar-SA"/>
    </w:rPr>
  </w:style>
  <w:style w:type="character" w:customStyle="1" w:styleId="FootnoteTextChar">
    <w:name w:val="Footnote Text Char"/>
    <w:basedOn w:val="DefaultParagraphFont"/>
    <w:link w:val="FootnoteText"/>
    <w:uiPriority w:val="99"/>
    <w:rsid w:val="00454100"/>
    <w:rPr>
      <w:rFonts w:ascii="Times New Roman" w:eastAsia="SimSun" w:hAnsi="Times New Roman" w:cs="Times New Roman"/>
      <w:sz w:val="20"/>
      <w:szCs w:val="20"/>
      <w:lang w:val="en-GB" w:eastAsia="ar-SA"/>
    </w:rPr>
  </w:style>
  <w:style w:type="character" w:styleId="FootnoteReference">
    <w:name w:val="footnote reference"/>
    <w:uiPriority w:val="99"/>
    <w:unhideWhenUsed/>
    <w:rsid w:val="00454100"/>
    <w:rPr>
      <w:vertAlign w:val="superscript"/>
    </w:rPr>
  </w:style>
  <w:style w:type="paragraph" w:customStyle="1" w:styleId="MediumGrid1-Accent21">
    <w:name w:val="Medium Grid 1 - Accent 21"/>
    <w:basedOn w:val="Normal"/>
    <w:uiPriority w:val="34"/>
    <w:qFormat/>
    <w:rsid w:val="00454100"/>
    <w:pPr>
      <w:ind w:left="720"/>
      <w:contextualSpacing/>
    </w:pPr>
    <w:rPr>
      <w:rFonts w:ascii="Calibri" w:eastAsia="Calibri" w:hAnsi="Calibri" w:cs="Times New Roman"/>
      <w:color w:val="auto"/>
      <w:sz w:val="22"/>
      <w:lang w:val="nl-NL"/>
    </w:rPr>
  </w:style>
  <w:style w:type="paragraph" w:styleId="EndnoteText">
    <w:name w:val="endnote text"/>
    <w:basedOn w:val="Normal"/>
    <w:link w:val="EndnoteTextChar"/>
    <w:uiPriority w:val="99"/>
    <w:semiHidden/>
    <w:unhideWhenUsed/>
    <w:rsid w:val="00113E69"/>
    <w:rPr>
      <w:szCs w:val="20"/>
    </w:rPr>
  </w:style>
  <w:style w:type="character" w:customStyle="1" w:styleId="EndnoteTextChar">
    <w:name w:val="Endnote Text Char"/>
    <w:basedOn w:val="DefaultParagraphFont"/>
    <w:link w:val="EndnoteText"/>
    <w:uiPriority w:val="99"/>
    <w:semiHidden/>
    <w:rsid w:val="00113E69"/>
    <w:rPr>
      <w:rFonts w:ascii="Arial" w:hAnsi="Arial"/>
      <w:color w:val="404040"/>
      <w:sz w:val="20"/>
      <w:szCs w:val="20"/>
    </w:rPr>
  </w:style>
  <w:style w:type="character" w:styleId="EndnoteReference">
    <w:name w:val="endnote reference"/>
    <w:basedOn w:val="DefaultParagraphFont"/>
    <w:uiPriority w:val="99"/>
    <w:semiHidden/>
    <w:unhideWhenUsed/>
    <w:rsid w:val="00113E6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5262870">
      <w:bodyDiv w:val="1"/>
      <w:marLeft w:val="0"/>
      <w:marRight w:val="0"/>
      <w:marTop w:val="0"/>
      <w:marBottom w:val="0"/>
      <w:divBdr>
        <w:top w:val="none" w:sz="0" w:space="0" w:color="auto"/>
        <w:left w:val="none" w:sz="0" w:space="0" w:color="auto"/>
        <w:bottom w:val="none" w:sz="0" w:space="0" w:color="auto"/>
        <w:right w:val="none" w:sz="0" w:space="0" w:color="auto"/>
      </w:divBdr>
    </w:div>
    <w:div w:id="1203786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youtube.com/watch?v=qGDBdRDoajw"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http://www.eecentre.org" TargetMode="External"/><Relationship Id="rId23" Type="http://schemas.microsoft.com/office/2011/relationships/people" Target="people.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theme" Target="theme/theme1.xml"/></Relationships>
</file>

<file path=word/_rels/endnotes.xml.rels><?xml version="1.0" encoding="UTF-8" standalone="yes"?>
<Relationships xmlns="http://schemas.openxmlformats.org/package/2006/relationships"><Relationship Id="rId2" Type="http://schemas.openxmlformats.org/officeDocument/2006/relationships/hyperlink" Target="http://www.iopcfunds.org/" TargetMode="External"/><Relationship Id="rId1" Type="http://schemas.openxmlformats.org/officeDocument/2006/relationships/hyperlink" Target="http://www.imo.org/About/Conventions/ListOfConventions/Pages/International-Convention-on-Oil-Pollution-Preparedness,-Response-and-Co-operation-(OPRC).asp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L:\Projects\2012\CISB\VisualMediaUnit\Branding_Materials\doc\2012_ocha_generic_word_doc_portrai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Content_x0020_Type_x0020_Group xmlns="f154b4d9-7ec7-4b5e-b168-732fe2c0b380">8</Content_x0020_Type_x0020_Group>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006043E801ECD41A66A5AFD31B86233" ma:contentTypeVersion="1" ma:contentTypeDescription="Create a new document." ma:contentTypeScope="" ma:versionID="8277a6751fb7427863cb8b8f4a36d6dd">
  <xsd:schema xmlns:xsd="http://www.w3.org/2001/XMLSchema" xmlns:p="http://schemas.microsoft.com/office/2006/metadata/properties" xmlns:ns2="f154b4d9-7ec7-4b5e-b168-732fe2c0b380" targetNamespace="http://schemas.microsoft.com/office/2006/metadata/properties" ma:root="true" ma:fieldsID="dceaf74c50957cb5f3826a017a378c41" ns2:_="">
    <xsd:import namespace="f154b4d9-7ec7-4b5e-b168-732fe2c0b380"/>
    <xsd:element name="properties">
      <xsd:complexType>
        <xsd:sequence>
          <xsd:element name="documentManagement">
            <xsd:complexType>
              <xsd:all>
                <xsd:element ref="ns2:Content_x0020_Type_x0020_Group" minOccurs="0"/>
              </xsd:all>
            </xsd:complexType>
          </xsd:element>
        </xsd:sequence>
      </xsd:complexType>
    </xsd:element>
  </xsd:schema>
  <xsd:schema xmlns:xsd="http://www.w3.org/2001/XMLSchema" xmlns:dms="http://schemas.microsoft.com/office/2006/documentManagement/types" targetNamespace="f154b4d9-7ec7-4b5e-b168-732fe2c0b380" elementFormDefault="qualified">
    <xsd:import namespace="http://schemas.microsoft.com/office/2006/documentManagement/types"/>
    <xsd:element name="Content_x0020_Type_x0020_Group" ma:index="8" nillable="true" ma:displayName="Content Type Group" ma:list="{412b606c-95d6-4214-b204-4aaaf20d7163}" ma:internalName="Content_x0020_Type_x0020_Group" ma:showField="Title" ma:web="f154b4d9-7ec7-4b5e-b168-732fe2c0b380">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14C51D-04B8-4B6D-AF33-AB836B513FAD}">
  <ds:schemaRefs>
    <ds:schemaRef ds:uri="http://purl.org/dc/dcmitype/"/>
    <ds:schemaRef ds:uri="http://schemas.openxmlformats.org/package/2006/metadata/core-properties"/>
    <ds:schemaRef ds:uri="http://schemas.microsoft.com/office/2006/documentManagement/types"/>
    <ds:schemaRef ds:uri="http://www.w3.org/XML/1998/namespace"/>
    <ds:schemaRef ds:uri="http://purl.org/dc/elements/1.1/"/>
    <ds:schemaRef ds:uri="f154b4d9-7ec7-4b5e-b168-732fe2c0b380"/>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B8BDDF02-CE22-4B38-87FE-BCC3E804C138}">
  <ds:schemaRefs>
    <ds:schemaRef ds:uri="http://schemas.microsoft.com/sharepoint/v3/contenttype/forms"/>
  </ds:schemaRefs>
</ds:datastoreItem>
</file>

<file path=customXml/itemProps3.xml><?xml version="1.0" encoding="utf-8"?>
<ds:datastoreItem xmlns:ds="http://schemas.openxmlformats.org/officeDocument/2006/customXml" ds:itemID="{6C5C8AD3-BF6F-467B-BA47-18C304C601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54b4d9-7ec7-4b5e-b168-732fe2c0b380"/>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54C03B8A-6955-41ED-8AC1-A2354071F4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2012_ocha_generic_word_doc_portrait</Template>
  <TotalTime>0</TotalTime>
  <Pages>8</Pages>
  <Words>5138</Words>
  <Characters>29292</Characters>
  <Application>Microsoft Office Word</Application>
  <DocSecurity>0</DocSecurity>
  <Lines>244</Lines>
  <Paragraphs>68</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United Nations</Company>
  <LinksUpToDate>false</LinksUpToDate>
  <CharactersWithSpaces>34362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xxxx</dc:creator>
  <cp:lastModifiedBy>OCHA</cp:lastModifiedBy>
  <cp:revision>2</cp:revision>
  <cp:lastPrinted>2014-11-05T09:19:00Z</cp:lastPrinted>
  <dcterms:created xsi:type="dcterms:W3CDTF">2015-03-18T15:32:00Z</dcterms:created>
  <dcterms:modified xsi:type="dcterms:W3CDTF">2015-03-18T15:32:00Z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0x010100E006043E801ECD41A66A5AFD31B86233</vt:lpwstr>
  </property>
</Properties>
</file>