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6A1" w:rsidRDefault="004726A1" w:rsidP="00495108">
      <w:pPr>
        <w:spacing w:before="400" w:after="120" w:line="240" w:lineRule="auto"/>
        <w:outlineLvl w:val="0"/>
        <w:rPr>
          <w:rFonts w:ascii="Arial" w:eastAsia="Times New Roman" w:hAnsi="Arial" w:cs="Arial"/>
          <w:color w:val="000000"/>
          <w:kern w:val="36"/>
          <w:sz w:val="40"/>
          <w:szCs w:val="40"/>
        </w:rPr>
      </w:pPr>
      <w:r>
        <w:rPr>
          <w:noProof/>
        </w:rPr>
        <w:drawing>
          <wp:anchor distT="0" distB="0" distL="114300" distR="114300" simplePos="0" relativeHeight="251658240" behindDoc="0" locked="0" layoutInCell="1" allowOverlap="1">
            <wp:simplePos x="0" y="0"/>
            <wp:positionH relativeFrom="column">
              <wp:posOffset>-905774</wp:posOffset>
            </wp:positionH>
            <wp:positionV relativeFrom="paragraph">
              <wp:posOffset>-931653</wp:posOffset>
            </wp:positionV>
            <wp:extent cx="7772400" cy="19060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07003" cy="19145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6A1" w:rsidRDefault="004726A1" w:rsidP="00495108">
      <w:pPr>
        <w:spacing w:before="400" w:after="120" w:line="240" w:lineRule="auto"/>
        <w:outlineLvl w:val="0"/>
        <w:rPr>
          <w:rFonts w:ascii="Arial" w:eastAsia="Times New Roman" w:hAnsi="Arial" w:cs="Arial"/>
          <w:color w:val="000000"/>
          <w:kern w:val="36"/>
          <w:sz w:val="40"/>
          <w:szCs w:val="40"/>
        </w:rPr>
      </w:pPr>
    </w:p>
    <w:p w:rsidR="00495108" w:rsidRDefault="004726A1" w:rsidP="004726A1">
      <w:pPr>
        <w:spacing w:before="400" w:after="120" w:line="240" w:lineRule="auto"/>
        <w:jc w:val="center"/>
        <w:outlineLvl w:val="0"/>
        <w:rPr>
          <w:rFonts w:ascii="Arial" w:eastAsia="Times New Roman" w:hAnsi="Arial" w:cs="Arial"/>
          <w:color w:val="000000"/>
          <w:kern w:val="36"/>
          <w:sz w:val="52"/>
          <w:szCs w:val="52"/>
        </w:rPr>
      </w:pPr>
      <w:proofErr w:type="spellStart"/>
      <w:r w:rsidRPr="004726A1">
        <w:rPr>
          <w:rFonts w:ascii="Arial" w:eastAsia="Times New Roman" w:hAnsi="Arial" w:cs="Arial"/>
          <w:color w:val="000000"/>
          <w:kern w:val="36"/>
          <w:sz w:val="52"/>
          <w:szCs w:val="52"/>
        </w:rPr>
        <w:t>EEHub</w:t>
      </w:r>
      <w:proofErr w:type="spellEnd"/>
      <w:r w:rsidRPr="004726A1">
        <w:rPr>
          <w:rFonts w:ascii="Arial" w:eastAsia="Times New Roman" w:hAnsi="Arial" w:cs="Arial"/>
          <w:color w:val="000000"/>
          <w:kern w:val="36"/>
          <w:sz w:val="52"/>
          <w:szCs w:val="52"/>
        </w:rPr>
        <w:t xml:space="preserve"> </w:t>
      </w:r>
      <w:r w:rsidR="00495108" w:rsidRPr="00495108">
        <w:rPr>
          <w:rFonts w:ascii="Arial" w:eastAsia="Times New Roman" w:hAnsi="Arial" w:cs="Arial"/>
          <w:color w:val="000000"/>
          <w:kern w:val="36"/>
          <w:sz w:val="52"/>
          <w:szCs w:val="52"/>
        </w:rPr>
        <w:t>FAQs</w:t>
      </w:r>
    </w:p>
    <w:p w:rsidR="000D4758" w:rsidRPr="00495108" w:rsidRDefault="000D4758" w:rsidP="004726A1">
      <w:pPr>
        <w:spacing w:before="400" w:after="120" w:line="240" w:lineRule="auto"/>
        <w:jc w:val="center"/>
        <w:outlineLvl w:val="0"/>
        <w:rPr>
          <w:rFonts w:ascii="Times New Roman" w:eastAsia="Times New Roman" w:hAnsi="Times New Roman" w:cs="Times New Roman"/>
          <w:b/>
          <w:bCs/>
          <w:kern w:val="36"/>
          <w:sz w:val="72"/>
          <w:szCs w:val="72"/>
        </w:rPr>
      </w:pPr>
    </w:p>
    <w:p w:rsidR="00495108" w:rsidRPr="00495108" w:rsidRDefault="000D4758" w:rsidP="00495108">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Pr>
        <w:t xml:space="preserve">1/ </w:t>
      </w:r>
      <w:r w:rsidR="00495108" w:rsidRPr="00495108">
        <w:rPr>
          <w:rFonts w:ascii="Arial" w:eastAsia="Times New Roman" w:hAnsi="Arial" w:cs="Arial"/>
          <w:b/>
          <w:bCs/>
          <w:color w:val="000000"/>
          <w:sz w:val="21"/>
          <w:szCs w:val="21"/>
        </w:rPr>
        <w:t>How can I deploy as an environmental expert with the UN Environment / OCHA Joint Unit?</w:t>
      </w:r>
    </w:p>
    <w:p w:rsidR="00495108" w:rsidRPr="00495108" w:rsidRDefault="00495108" w:rsidP="00495108">
      <w:pPr>
        <w:spacing w:after="0" w:line="240" w:lineRule="auto"/>
        <w:rPr>
          <w:rFonts w:ascii="Times New Roman" w:eastAsia="Times New Roman" w:hAnsi="Times New Roman" w:cs="Times New Roman"/>
          <w:sz w:val="24"/>
          <w:szCs w:val="24"/>
        </w:rPr>
      </w:pPr>
    </w:p>
    <w:p w:rsidR="00495108" w:rsidRPr="00495108" w:rsidRDefault="00495108" w:rsidP="00495108">
      <w:pPr>
        <w:spacing w:after="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 xml:space="preserve">The Joint Unit deploys environmental experts on UN emergency response missions through the Environmental Emergencies Roster, which comprises 58 institutions and individuals. Through the roster, the JEU has access to the partners’ pools of experts who could be mobilized for response. </w:t>
      </w:r>
    </w:p>
    <w:p w:rsidR="00495108" w:rsidRPr="00495108" w:rsidRDefault="00495108" w:rsidP="00495108">
      <w:pPr>
        <w:spacing w:after="0" w:line="240" w:lineRule="auto"/>
        <w:rPr>
          <w:rFonts w:ascii="Times New Roman" w:eastAsia="Times New Roman" w:hAnsi="Times New Roman" w:cs="Times New Roman"/>
          <w:sz w:val="24"/>
          <w:szCs w:val="24"/>
        </w:rPr>
      </w:pPr>
    </w:p>
    <w:p w:rsidR="00495108" w:rsidRPr="00495108" w:rsidRDefault="00495108" w:rsidP="00495108">
      <w:pPr>
        <w:spacing w:after="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 xml:space="preserve">Environmental Field Advisors are deployed through the </w:t>
      </w:r>
      <w:hyperlink r:id="rId6" w:history="1">
        <w:r w:rsidRPr="00495108">
          <w:rPr>
            <w:rFonts w:ascii="Arial" w:eastAsia="Times New Roman" w:hAnsi="Arial" w:cs="Arial"/>
            <w:color w:val="1155CC"/>
            <w:sz w:val="21"/>
            <w:szCs w:val="21"/>
            <w:u w:val="single"/>
          </w:rPr>
          <w:t xml:space="preserve">Stand-By Partnership </w:t>
        </w:r>
        <w:proofErr w:type="spellStart"/>
        <w:r w:rsidRPr="00495108">
          <w:rPr>
            <w:rFonts w:ascii="Arial" w:eastAsia="Times New Roman" w:hAnsi="Arial" w:cs="Arial"/>
            <w:color w:val="1155CC"/>
            <w:sz w:val="21"/>
            <w:szCs w:val="21"/>
            <w:u w:val="single"/>
          </w:rPr>
          <w:t>Programme</w:t>
        </w:r>
        <w:proofErr w:type="spellEnd"/>
        <w:r w:rsidRPr="00495108">
          <w:rPr>
            <w:rFonts w:ascii="Arial" w:eastAsia="Times New Roman" w:hAnsi="Arial" w:cs="Arial"/>
            <w:color w:val="1155CC"/>
            <w:sz w:val="21"/>
            <w:szCs w:val="21"/>
            <w:u w:val="single"/>
          </w:rPr>
          <w:t xml:space="preserve"> (SBPP</w:t>
        </w:r>
      </w:hyperlink>
      <w:r w:rsidRPr="00495108">
        <w:rPr>
          <w:rFonts w:ascii="Arial" w:eastAsia="Times New Roman" w:hAnsi="Arial" w:cs="Arial"/>
          <w:color w:val="000000"/>
          <w:sz w:val="21"/>
          <w:szCs w:val="21"/>
        </w:rPr>
        <w:t>) of which OCHA is a partner and which also includes 14 partner</w:t>
      </w:r>
      <w:r w:rsidR="005C160E">
        <w:rPr>
          <w:rFonts w:ascii="Arial" w:eastAsia="Times New Roman" w:hAnsi="Arial" w:cs="Arial"/>
          <w:color w:val="000000"/>
          <w:sz w:val="21"/>
          <w:szCs w:val="21"/>
        </w:rPr>
        <w:t>-</w:t>
      </w:r>
      <w:r w:rsidRPr="00495108">
        <w:rPr>
          <w:rFonts w:ascii="Arial" w:eastAsia="Times New Roman" w:hAnsi="Arial" w:cs="Arial"/>
          <w:color w:val="000000"/>
          <w:sz w:val="21"/>
          <w:szCs w:val="21"/>
        </w:rPr>
        <w:t xml:space="preserve">sending </w:t>
      </w:r>
      <w:r w:rsidR="005C160E" w:rsidRPr="00495108">
        <w:rPr>
          <w:rFonts w:ascii="Arial" w:eastAsia="Times New Roman" w:hAnsi="Arial" w:cs="Arial"/>
          <w:color w:val="000000"/>
          <w:sz w:val="21"/>
          <w:szCs w:val="21"/>
        </w:rPr>
        <w:t>organizations</w:t>
      </w:r>
      <w:r w:rsidRPr="00495108">
        <w:rPr>
          <w:rFonts w:ascii="Arial" w:eastAsia="Times New Roman" w:hAnsi="Arial" w:cs="Arial"/>
          <w:color w:val="000000"/>
          <w:sz w:val="21"/>
          <w:szCs w:val="21"/>
        </w:rPr>
        <w:t xml:space="preserve">. </w:t>
      </w:r>
    </w:p>
    <w:p w:rsidR="00495108" w:rsidRPr="00495108" w:rsidRDefault="00495108" w:rsidP="00495108">
      <w:pPr>
        <w:spacing w:after="0" w:line="240" w:lineRule="auto"/>
        <w:rPr>
          <w:rFonts w:ascii="Times New Roman" w:eastAsia="Times New Roman" w:hAnsi="Times New Roman" w:cs="Times New Roman"/>
          <w:sz w:val="24"/>
          <w:szCs w:val="24"/>
        </w:rPr>
      </w:pPr>
    </w:p>
    <w:p w:rsidR="00495108" w:rsidRPr="00495108" w:rsidRDefault="000D4758" w:rsidP="00495108">
      <w:pPr>
        <w:spacing w:after="220"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Pr>
        <w:t xml:space="preserve">2/ </w:t>
      </w:r>
      <w:r w:rsidR="00495108" w:rsidRPr="00495108">
        <w:rPr>
          <w:rFonts w:ascii="Arial" w:eastAsia="Times New Roman" w:hAnsi="Arial" w:cs="Arial"/>
          <w:b/>
          <w:bCs/>
          <w:color w:val="000000"/>
          <w:sz w:val="21"/>
          <w:szCs w:val="21"/>
        </w:rPr>
        <w:t>When are sampling and analysis necessary?</w:t>
      </w:r>
    </w:p>
    <w:p w:rsidR="00495108" w:rsidRPr="00495108" w:rsidRDefault="00495108" w:rsidP="00495108">
      <w:pPr>
        <w:spacing w:after="22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National sampling and analysis capacity should be used whenever possible. The</w:t>
      </w:r>
      <w:hyperlink r:id="rId7" w:history="1">
        <w:r w:rsidRPr="00495108">
          <w:rPr>
            <w:rFonts w:ascii="Arial" w:eastAsia="Times New Roman" w:hAnsi="Arial" w:cs="Arial"/>
            <w:color w:val="000000"/>
            <w:sz w:val="21"/>
            <w:szCs w:val="21"/>
            <w:u w:val="single"/>
          </w:rPr>
          <w:t xml:space="preserve"> UN Environment / OCHA </w:t>
        </w:r>
        <w:r w:rsidRPr="00495108">
          <w:rPr>
            <w:rFonts w:ascii="Arial" w:eastAsia="Times New Roman" w:hAnsi="Arial" w:cs="Arial"/>
            <w:color w:val="3772FE"/>
            <w:sz w:val="21"/>
            <w:szCs w:val="21"/>
            <w:u w:val="single"/>
          </w:rPr>
          <w:t>Joint Unit</w:t>
        </w:r>
      </w:hyperlink>
      <w:r w:rsidRPr="00495108">
        <w:rPr>
          <w:rFonts w:ascii="Arial" w:eastAsia="Times New Roman" w:hAnsi="Arial" w:cs="Arial"/>
          <w:color w:val="000000"/>
          <w:sz w:val="21"/>
          <w:szCs w:val="21"/>
        </w:rPr>
        <w:t xml:space="preserve"> and UN Environment Humanitarian Affairs Officers will </w:t>
      </w:r>
      <w:r w:rsidR="005C160E" w:rsidRPr="00495108">
        <w:rPr>
          <w:rFonts w:ascii="Arial" w:eastAsia="Times New Roman" w:hAnsi="Arial" w:cs="Arial"/>
          <w:color w:val="000000"/>
          <w:sz w:val="21"/>
          <w:szCs w:val="21"/>
        </w:rPr>
        <w:t>endeavor</w:t>
      </w:r>
      <w:r w:rsidRPr="00495108">
        <w:rPr>
          <w:rFonts w:ascii="Arial" w:eastAsia="Times New Roman" w:hAnsi="Arial" w:cs="Arial"/>
          <w:color w:val="000000"/>
          <w:sz w:val="21"/>
          <w:szCs w:val="21"/>
        </w:rPr>
        <w:t xml:space="preserve"> to identify locally available sampling and analysis capacity ahead of the mission.</w:t>
      </w:r>
    </w:p>
    <w:p w:rsidR="00495108" w:rsidRPr="00495108" w:rsidRDefault="00495108" w:rsidP="00495108">
      <w:pPr>
        <w:spacing w:after="22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If this is not possible, upon arrival, the deployed expert should make it a priority to identify available sampling/analysis capacity required to fulfil the mission objectives, both in-country and in the region.</w:t>
      </w:r>
    </w:p>
    <w:p w:rsidR="00495108" w:rsidRPr="00495108" w:rsidRDefault="00495108" w:rsidP="00495108">
      <w:pPr>
        <w:spacing w:after="22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Should sampling and analysis be required, but not available, the expert should determine a sampling strategy in-country. A list of required resources (equipment, options for analysis and approximate cost) should then be sent to the JEU and the Response Partner to establish whether these additional costs can be covered by the mission – by the requesting party, the Response Partner, the JEU, the UN in-country or another actor. It is important to ensure the impartiality and quality of any laboratory used.</w:t>
      </w:r>
    </w:p>
    <w:p w:rsidR="00495108" w:rsidRPr="00495108" w:rsidRDefault="000D4758" w:rsidP="00495108">
      <w:pPr>
        <w:spacing w:after="220"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Pr>
        <w:t xml:space="preserve">3/ </w:t>
      </w:r>
      <w:r w:rsidR="00495108" w:rsidRPr="00495108">
        <w:rPr>
          <w:rFonts w:ascii="Arial" w:eastAsia="Times New Roman" w:hAnsi="Arial" w:cs="Arial"/>
          <w:b/>
          <w:bCs/>
          <w:color w:val="000000"/>
          <w:sz w:val="21"/>
          <w:szCs w:val="21"/>
        </w:rPr>
        <w:t>How are local actors involved?</w:t>
      </w:r>
    </w:p>
    <w:p w:rsidR="00495108" w:rsidRPr="00495108" w:rsidRDefault="00495108" w:rsidP="00495108">
      <w:pPr>
        <w:spacing w:after="22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 xml:space="preserve">The expert ensures the involvement of regional, national and local actors in preparedness and/or response missions </w:t>
      </w:r>
      <w:proofErr w:type="gramStart"/>
      <w:r w:rsidRPr="00495108">
        <w:rPr>
          <w:rFonts w:ascii="Arial" w:eastAsia="Times New Roman" w:hAnsi="Arial" w:cs="Arial"/>
          <w:color w:val="000000"/>
          <w:sz w:val="21"/>
          <w:szCs w:val="21"/>
        </w:rPr>
        <w:t>in order to</w:t>
      </w:r>
      <w:proofErr w:type="gramEnd"/>
      <w:r w:rsidRPr="00495108">
        <w:rPr>
          <w:rFonts w:ascii="Arial" w:eastAsia="Times New Roman" w:hAnsi="Arial" w:cs="Arial"/>
          <w:color w:val="000000"/>
          <w:sz w:val="21"/>
          <w:szCs w:val="21"/>
        </w:rPr>
        <w:t>:</w:t>
      </w:r>
    </w:p>
    <w:p w:rsidR="00495108" w:rsidRPr="00495108" w:rsidRDefault="00495108" w:rsidP="00495108">
      <w:pPr>
        <w:numPr>
          <w:ilvl w:val="0"/>
          <w:numId w:val="1"/>
        </w:numPr>
        <w:spacing w:before="220" w:after="0" w:line="240" w:lineRule="auto"/>
        <w:jc w:val="both"/>
        <w:textAlignment w:val="baseline"/>
        <w:rPr>
          <w:rFonts w:ascii="Arial" w:eastAsia="Times New Roman" w:hAnsi="Arial" w:cs="Arial"/>
          <w:color w:val="4F5D75"/>
          <w:sz w:val="21"/>
          <w:szCs w:val="21"/>
        </w:rPr>
      </w:pPr>
      <w:r w:rsidRPr="00495108">
        <w:rPr>
          <w:rFonts w:ascii="Arial" w:eastAsia="Times New Roman" w:hAnsi="Arial" w:cs="Arial"/>
          <w:color w:val="000000"/>
          <w:sz w:val="21"/>
          <w:szCs w:val="21"/>
        </w:rPr>
        <w:t>improve mission quality</w:t>
      </w:r>
    </w:p>
    <w:p w:rsidR="00495108" w:rsidRPr="00495108" w:rsidRDefault="00495108" w:rsidP="00495108">
      <w:pPr>
        <w:numPr>
          <w:ilvl w:val="0"/>
          <w:numId w:val="1"/>
        </w:numPr>
        <w:spacing w:after="0" w:line="240" w:lineRule="auto"/>
        <w:jc w:val="both"/>
        <w:textAlignment w:val="baseline"/>
        <w:rPr>
          <w:rFonts w:ascii="Arial" w:eastAsia="Times New Roman" w:hAnsi="Arial" w:cs="Arial"/>
          <w:color w:val="4F5D75"/>
          <w:sz w:val="21"/>
          <w:szCs w:val="21"/>
        </w:rPr>
      </w:pPr>
      <w:r w:rsidRPr="00495108">
        <w:rPr>
          <w:rFonts w:ascii="Arial" w:eastAsia="Times New Roman" w:hAnsi="Arial" w:cs="Arial"/>
          <w:color w:val="000000"/>
          <w:sz w:val="21"/>
          <w:szCs w:val="21"/>
        </w:rPr>
        <w:t>build capacity for both international and national actors</w:t>
      </w:r>
    </w:p>
    <w:p w:rsidR="00495108" w:rsidRPr="00495108" w:rsidRDefault="00495108" w:rsidP="00495108">
      <w:pPr>
        <w:numPr>
          <w:ilvl w:val="0"/>
          <w:numId w:val="1"/>
        </w:numPr>
        <w:spacing w:after="0" w:line="240" w:lineRule="auto"/>
        <w:jc w:val="both"/>
        <w:textAlignment w:val="baseline"/>
        <w:rPr>
          <w:rFonts w:ascii="Arial" w:eastAsia="Times New Roman" w:hAnsi="Arial" w:cs="Arial"/>
          <w:color w:val="4F5D75"/>
          <w:sz w:val="21"/>
          <w:szCs w:val="21"/>
        </w:rPr>
      </w:pPr>
      <w:r w:rsidRPr="00495108">
        <w:rPr>
          <w:rFonts w:ascii="Arial" w:eastAsia="Times New Roman" w:hAnsi="Arial" w:cs="Arial"/>
          <w:color w:val="000000"/>
          <w:sz w:val="21"/>
          <w:szCs w:val="21"/>
        </w:rPr>
        <w:t>ensure the integration of local knowledge and an understanding of the local context</w:t>
      </w:r>
    </w:p>
    <w:p w:rsidR="00495108" w:rsidRPr="00495108" w:rsidRDefault="00495108" w:rsidP="00495108">
      <w:pPr>
        <w:numPr>
          <w:ilvl w:val="0"/>
          <w:numId w:val="1"/>
        </w:numPr>
        <w:spacing w:after="220" w:line="240" w:lineRule="auto"/>
        <w:jc w:val="both"/>
        <w:textAlignment w:val="baseline"/>
        <w:rPr>
          <w:rFonts w:ascii="Arial" w:eastAsia="Times New Roman" w:hAnsi="Arial" w:cs="Arial"/>
          <w:color w:val="4F5D75"/>
          <w:sz w:val="21"/>
          <w:szCs w:val="21"/>
        </w:rPr>
      </w:pPr>
      <w:r w:rsidRPr="00495108">
        <w:rPr>
          <w:rFonts w:ascii="Arial" w:eastAsia="Times New Roman" w:hAnsi="Arial" w:cs="Arial"/>
          <w:color w:val="000000"/>
          <w:sz w:val="21"/>
          <w:szCs w:val="21"/>
        </w:rPr>
        <w:t>strengthen uptake of mission recommendations</w:t>
      </w:r>
    </w:p>
    <w:p w:rsidR="00495108" w:rsidRPr="00495108" w:rsidRDefault="00495108" w:rsidP="00495108">
      <w:pPr>
        <w:spacing w:after="22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 xml:space="preserve">The Joint Unit, through OCHA and the UN Environment Regional Humanitarian Affairs Officers, </w:t>
      </w:r>
      <w:r w:rsidR="005C160E" w:rsidRPr="00495108">
        <w:rPr>
          <w:rFonts w:ascii="Arial" w:eastAsia="Times New Roman" w:hAnsi="Arial" w:cs="Arial"/>
          <w:color w:val="000000"/>
          <w:sz w:val="21"/>
          <w:szCs w:val="21"/>
        </w:rPr>
        <w:t>endeavors</w:t>
      </w:r>
      <w:r w:rsidRPr="00495108">
        <w:rPr>
          <w:rFonts w:ascii="Arial" w:eastAsia="Times New Roman" w:hAnsi="Arial" w:cs="Arial"/>
          <w:color w:val="000000"/>
          <w:sz w:val="21"/>
          <w:szCs w:val="21"/>
        </w:rPr>
        <w:t xml:space="preserve"> to always include a representative of the requesting party in the mission. Additionally, local </w:t>
      </w:r>
      <w:r w:rsidRPr="00495108">
        <w:rPr>
          <w:rFonts w:ascii="Arial" w:eastAsia="Times New Roman" w:hAnsi="Arial" w:cs="Arial"/>
          <w:color w:val="000000"/>
          <w:sz w:val="21"/>
          <w:szCs w:val="21"/>
        </w:rPr>
        <w:lastRenderedPageBreak/>
        <w:t xml:space="preserve">NGOs and academia can be involved. It is not always possible to identify these people in advance, and the deploying expert should take a proactive approach in reaching out to national actors, </w:t>
      </w:r>
      <w:proofErr w:type="gramStart"/>
      <w:r w:rsidRPr="00495108">
        <w:rPr>
          <w:rFonts w:ascii="Arial" w:eastAsia="Times New Roman" w:hAnsi="Arial" w:cs="Arial"/>
          <w:color w:val="000000"/>
          <w:sz w:val="21"/>
          <w:szCs w:val="21"/>
        </w:rPr>
        <w:t>in order to</w:t>
      </w:r>
      <w:proofErr w:type="gramEnd"/>
      <w:r w:rsidRPr="00495108">
        <w:rPr>
          <w:rFonts w:ascii="Arial" w:eastAsia="Times New Roman" w:hAnsi="Arial" w:cs="Arial"/>
          <w:color w:val="000000"/>
          <w:sz w:val="21"/>
          <w:szCs w:val="21"/>
        </w:rPr>
        <w:t xml:space="preserve"> identify additional local capacity to be involved in the mission.</w:t>
      </w:r>
    </w:p>
    <w:p w:rsidR="00495108" w:rsidRPr="00495108" w:rsidRDefault="00495108" w:rsidP="00495108">
      <w:pPr>
        <w:spacing w:after="22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 xml:space="preserve">Liaising with other in-country experts and response partners can also prove beneficial in gaining contextual </w:t>
      </w:r>
      <w:r w:rsidR="005C160E" w:rsidRPr="00495108">
        <w:rPr>
          <w:rFonts w:ascii="Arial" w:eastAsia="Times New Roman" w:hAnsi="Arial" w:cs="Arial"/>
          <w:color w:val="000000"/>
          <w:sz w:val="21"/>
          <w:szCs w:val="21"/>
        </w:rPr>
        <w:t>information and</w:t>
      </w:r>
      <w:r w:rsidRPr="00495108">
        <w:rPr>
          <w:rFonts w:ascii="Arial" w:eastAsia="Times New Roman" w:hAnsi="Arial" w:cs="Arial"/>
          <w:color w:val="000000"/>
          <w:sz w:val="21"/>
          <w:szCs w:val="21"/>
        </w:rPr>
        <w:t xml:space="preserve"> furthering the assessment process; this should also be pursued when possible. Depending on the duration and type of involvement, the JEU could offer short-term consultancy contracts to cover these experts’ time and fees. In this instance, the expert should discuss available options with the JEU mission focal point.</w:t>
      </w:r>
    </w:p>
    <w:p w:rsidR="00495108" w:rsidRPr="00495108" w:rsidRDefault="000D4758" w:rsidP="00495108">
      <w:pPr>
        <w:spacing w:after="220"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Pr>
        <w:t xml:space="preserve">4/ </w:t>
      </w:r>
      <w:r w:rsidR="00495108" w:rsidRPr="00495108">
        <w:rPr>
          <w:rFonts w:ascii="Arial" w:eastAsia="Times New Roman" w:hAnsi="Arial" w:cs="Arial"/>
          <w:b/>
          <w:bCs/>
          <w:color w:val="000000"/>
          <w:sz w:val="21"/>
          <w:szCs w:val="21"/>
        </w:rPr>
        <w:t>How should handover strategies be planned?</w:t>
      </w:r>
    </w:p>
    <w:p w:rsidR="00495108" w:rsidRPr="00495108" w:rsidRDefault="00495108" w:rsidP="00495108">
      <w:pPr>
        <w:spacing w:after="22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 xml:space="preserve">An exit and handover/transition strategy should be considered from the earliest Plan of </w:t>
      </w:r>
      <w:r w:rsidR="005C160E" w:rsidRPr="00495108">
        <w:rPr>
          <w:rFonts w:ascii="Arial" w:eastAsia="Times New Roman" w:hAnsi="Arial" w:cs="Arial"/>
          <w:color w:val="000000"/>
          <w:sz w:val="21"/>
          <w:szCs w:val="21"/>
        </w:rPr>
        <w:t>Action and</w:t>
      </w:r>
      <w:r w:rsidRPr="00495108">
        <w:rPr>
          <w:rFonts w:ascii="Arial" w:eastAsia="Times New Roman" w:hAnsi="Arial" w:cs="Arial"/>
          <w:color w:val="000000"/>
          <w:sz w:val="21"/>
          <w:szCs w:val="21"/>
        </w:rPr>
        <w:t xml:space="preserve"> integrated into every interim plan and team operational briefing. If not, the plan can be lost in the urgency of the mission. Failure to properly plan and execute a handover/transition strategy may seriously imperil your achievements and the long-term success of your mission, resulting in lost opportunities to stabilize changes and innovations. Typically, an effective strategy requires an ongoing inventory of assets and processes under the team’s control; identifying local partners to assume key functions performed by the team at the earliest opportunity; and, if necessary, strengthening their capacity before the handover takes place. This handover/transition strategy may be implemented over the course of the mission, as partners are identified and determined ready, and should not occur all at once at the end of the mission.</w:t>
      </w:r>
    </w:p>
    <w:p w:rsidR="00495108" w:rsidRPr="00495108" w:rsidRDefault="000D4758" w:rsidP="00495108">
      <w:pPr>
        <w:spacing w:after="220"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Pr>
        <w:t xml:space="preserve">5/ </w:t>
      </w:r>
      <w:r w:rsidR="00495108" w:rsidRPr="00495108">
        <w:rPr>
          <w:rFonts w:ascii="Arial" w:eastAsia="Times New Roman" w:hAnsi="Arial" w:cs="Arial"/>
          <w:b/>
          <w:bCs/>
          <w:color w:val="000000"/>
          <w:sz w:val="21"/>
          <w:szCs w:val="21"/>
        </w:rPr>
        <w:t>What happens after a mission is completed?</w:t>
      </w:r>
    </w:p>
    <w:p w:rsidR="00495108" w:rsidRPr="00495108" w:rsidRDefault="00495108" w:rsidP="00495108">
      <w:pPr>
        <w:spacing w:after="22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 xml:space="preserve">After completion of the mission, the JEU will send out a short survey to the expert focusing on 1) mission highlights, 2) key challenges encountered, 3) best practices, and 4) recommendations for future missions. A debrief will be organized by the JEU and the deploying partner within 7 days of mission completion. For some partners, the debrief will be carried out jointly with various staff of the deploying organization. Sometimes, a separate debrief in the deploying organization’s premises will take place. The </w:t>
      </w:r>
      <w:proofErr w:type="spellStart"/>
      <w:r w:rsidRPr="00495108">
        <w:rPr>
          <w:rFonts w:ascii="Arial" w:eastAsia="Times New Roman" w:hAnsi="Arial" w:cs="Arial"/>
          <w:color w:val="000000"/>
          <w:sz w:val="21"/>
          <w:szCs w:val="21"/>
        </w:rPr>
        <w:t>deployee</w:t>
      </w:r>
      <w:proofErr w:type="spellEnd"/>
      <w:r w:rsidRPr="00495108">
        <w:rPr>
          <w:rFonts w:ascii="Arial" w:eastAsia="Times New Roman" w:hAnsi="Arial" w:cs="Arial"/>
          <w:color w:val="000000"/>
          <w:sz w:val="21"/>
          <w:szCs w:val="21"/>
        </w:rPr>
        <w:t xml:space="preserve"> has the right to receive written feedback on his/her performance during a mission. Ideally, an evaluation form should be filled out by the </w:t>
      </w:r>
      <w:proofErr w:type="spellStart"/>
      <w:r w:rsidRPr="00495108">
        <w:rPr>
          <w:rFonts w:ascii="Arial" w:eastAsia="Times New Roman" w:hAnsi="Arial" w:cs="Arial"/>
          <w:color w:val="000000"/>
          <w:sz w:val="21"/>
          <w:szCs w:val="21"/>
        </w:rPr>
        <w:t>deployee’s</w:t>
      </w:r>
      <w:proofErr w:type="spellEnd"/>
      <w:r w:rsidRPr="00495108">
        <w:rPr>
          <w:rFonts w:ascii="Arial" w:eastAsia="Times New Roman" w:hAnsi="Arial" w:cs="Arial"/>
          <w:color w:val="000000"/>
          <w:sz w:val="21"/>
          <w:szCs w:val="21"/>
        </w:rPr>
        <w:t xml:space="preserve"> supervisor before the debrief takes place.</w:t>
      </w:r>
    </w:p>
    <w:p w:rsidR="00495108" w:rsidRPr="00495108" w:rsidRDefault="000D4758" w:rsidP="00495108">
      <w:pPr>
        <w:spacing w:after="22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1"/>
          <w:szCs w:val="21"/>
        </w:rPr>
        <w:t xml:space="preserve">6/ </w:t>
      </w:r>
      <w:bookmarkStart w:id="0" w:name="_GoBack"/>
      <w:bookmarkEnd w:id="0"/>
      <w:r w:rsidR="00495108" w:rsidRPr="00495108">
        <w:rPr>
          <w:rFonts w:ascii="Arial" w:eastAsia="Times New Roman" w:hAnsi="Arial" w:cs="Arial"/>
          <w:b/>
          <w:bCs/>
          <w:color w:val="000000"/>
          <w:sz w:val="21"/>
          <w:szCs w:val="21"/>
        </w:rPr>
        <w:t>Who to speak to about financial concerns?</w:t>
      </w:r>
    </w:p>
    <w:p w:rsidR="00495108" w:rsidRPr="00495108" w:rsidRDefault="00495108" w:rsidP="00495108">
      <w:pPr>
        <w:spacing w:after="0" w:line="240" w:lineRule="auto"/>
        <w:jc w:val="both"/>
        <w:rPr>
          <w:rFonts w:ascii="Times New Roman" w:eastAsia="Times New Roman" w:hAnsi="Times New Roman" w:cs="Times New Roman"/>
          <w:sz w:val="24"/>
          <w:szCs w:val="24"/>
        </w:rPr>
      </w:pPr>
      <w:r w:rsidRPr="00495108">
        <w:rPr>
          <w:rFonts w:ascii="Arial" w:eastAsia="Times New Roman" w:hAnsi="Arial" w:cs="Arial"/>
          <w:color w:val="000000"/>
          <w:sz w:val="21"/>
          <w:szCs w:val="21"/>
        </w:rPr>
        <w:t>If finances become a concern at any point during the mission, the environmental expert should contact the UN Environment office in the region. The JEU is also able to discuss financial support with environmental experts if required.</w:t>
      </w:r>
    </w:p>
    <w:p w:rsidR="006C417E" w:rsidRDefault="006C417E"/>
    <w:sectPr w:rsidR="006C41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958FD"/>
    <w:multiLevelType w:val="multilevel"/>
    <w:tmpl w:val="3E4A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08"/>
    <w:rsid w:val="000D4758"/>
    <w:rsid w:val="004726A1"/>
    <w:rsid w:val="00495108"/>
    <w:rsid w:val="005C160E"/>
    <w:rsid w:val="006C41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A05C"/>
  <w15:chartTrackingRefBased/>
  <w15:docId w15:val="{8222ED31-8DC4-4E0A-BFCF-87D064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51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1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51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5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cha.org/themes/environmental-emerge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bypartnership.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749</Words>
  <Characters>4274</Characters>
  <Application>Microsoft Office Word</Application>
  <DocSecurity>0</DocSecurity>
  <Lines>35</Lines>
  <Paragraphs>10</Paragraphs>
  <ScaleCrop>false</ScaleCrop>
  <Company>United Nations</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Hortense Marie Florence Sylvie Regnaut</dc:creator>
  <cp:keywords/>
  <dc:description/>
  <cp:lastModifiedBy>Hortense Marie Florence Sylvie Regnaut</cp:lastModifiedBy>
  <cp:revision>4</cp:revision>
  <dcterms:created xsi:type="dcterms:W3CDTF">2019-05-29T09:10:00Z</dcterms:created>
  <dcterms:modified xsi:type="dcterms:W3CDTF">2019-05-29T09:23:00Z</dcterms:modified>
</cp:coreProperties>
</file>